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5C0" w:rsidRDefault="000715C0">
      <w:pPr>
        <w:spacing w:line="276" w:lineRule="auto"/>
        <w:rPr>
          <w:rFonts w:ascii="Times New Roman" w:hAnsi="Times New Roman"/>
          <w:b/>
          <w:sz w:val="32"/>
          <w:szCs w:val="32"/>
        </w:rPr>
      </w:pPr>
    </w:p>
    <w:p w:rsidR="000715C0" w:rsidRDefault="00CB504C">
      <w:pPr>
        <w:spacing w:line="276" w:lineRule="auto"/>
        <w:jc w:val="center"/>
        <w:rPr>
          <w:rFonts w:ascii="Times New Roman" w:hAnsi="Times New Roman"/>
          <w:b/>
          <w:sz w:val="32"/>
          <w:szCs w:val="32"/>
        </w:rPr>
      </w:pPr>
      <w:r>
        <w:rPr>
          <w:rFonts w:ascii="Times New Roman" w:hAnsi="Times New Roman" w:hint="eastAsia"/>
          <w:b/>
          <w:sz w:val="32"/>
          <w:szCs w:val="32"/>
        </w:rPr>
        <w:t>渝农商理财有限责任公司</w:t>
      </w:r>
    </w:p>
    <w:p w:rsidR="000715C0" w:rsidRDefault="00CB504C">
      <w:pPr>
        <w:spacing w:line="276" w:lineRule="auto"/>
        <w:jc w:val="center"/>
        <w:rPr>
          <w:rFonts w:ascii="Times New Roman" w:hAnsi="Times New Roman"/>
          <w:b/>
          <w:sz w:val="32"/>
          <w:szCs w:val="32"/>
        </w:rPr>
      </w:pPr>
      <w:r>
        <w:rPr>
          <w:rFonts w:ascii="Times New Roman" w:hAnsi="Times New Roman" w:hint="eastAsia"/>
          <w:b/>
          <w:sz w:val="32"/>
          <w:szCs w:val="32"/>
        </w:rPr>
        <w:t>渝农商理财兴时（最短持有</w:t>
      </w:r>
      <w:r>
        <w:rPr>
          <w:rFonts w:ascii="Times New Roman" w:hAnsi="Times New Roman" w:hint="eastAsia"/>
          <w:b/>
          <w:sz w:val="32"/>
          <w:szCs w:val="32"/>
        </w:rPr>
        <w:t>1</w:t>
      </w:r>
      <w:r>
        <w:rPr>
          <w:rFonts w:ascii="Times New Roman" w:hAnsi="Times New Roman" w:hint="eastAsia"/>
          <w:b/>
          <w:sz w:val="32"/>
          <w:szCs w:val="32"/>
        </w:rPr>
        <w:t>个月）每日开放</w:t>
      </w:r>
      <w:r>
        <w:rPr>
          <w:rFonts w:ascii="Times New Roman" w:hAnsi="Times New Roman" w:hint="eastAsia"/>
          <w:b/>
          <w:sz w:val="32"/>
          <w:szCs w:val="32"/>
        </w:rPr>
        <w:t>1</w:t>
      </w:r>
      <w:r>
        <w:rPr>
          <w:rFonts w:ascii="Times New Roman" w:hAnsi="Times New Roman" w:hint="eastAsia"/>
          <w:b/>
          <w:sz w:val="32"/>
          <w:szCs w:val="32"/>
        </w:rPr>
        <w:t>号</w:t>
      </w:r>
    </w:p>
    <w:p w:rsidR="000715C0" w:rsidRDefault="00CB504C">
      <w:pPr>
        <w:spacing w:line="276" w:lineRule="auto"/>
        <w:jc w:val="center"/>
        <w:rPr>
          <w:rFonts w:ascii="Times New Roman" w:hAnsi="Times New Roman"/>
          <w:b/>
          <w:sz w:val="32"/>
          <w:szCs w:val="32"/>
        </w:rPr>
      </w:pPr>
      <w:r>
        <w:rPr>
          <w:rFonts w:ascii="Times New Roman" w:hAnsi="Times New Roman" w:hint="eastAsia"/>
          <w:b/>
          <w:sz w:val="32"/>
          <w:szCs w:val="32"/>
        </w:rPr>
        <w:t>理财产品说明书</w:t>
      </w:r>
    </w:p>
    <w:p w:rsidR="000715C0" w:rsidRDefault="00CB504C">
      <w:pPr>
        <w:tabs>
          <w:tab w:val="center" w:pos="4434"/>
        </w:tabs>
        <w:spacing w:line="276" w:lineRule="auto"/>
        <w:jc w:val="center"/>
        <w:rPr>
          <w:rFonts w:ascii="Times New Roman" w:hAnsi="Times New Roman"/>
          <w:b/>
          <w:bCs/>
          <w:sz w:val="28"/>
          <w:szCs w:val="28"/>
        </w:rPr>
      </w:pPr>
      <w:r>
        <w:rPr>
          <w:rFonts w:ascii="Times New Roman" w:hAnsi="Times New Roman" w:hint="eastAsia"/>
          <w:b/>
          <w:bCs/>
          <w:sz w:val="28"/>
          <w:szCs w:val="28"/>
        </w:rPr>
        <w:t>（</w:t>
      </w:r>
      <w:r>
        <w:rPr>
          <w:rFonts w:ascii="Times New Roman" w:hAnsi="Times New Roman"/>
          <w:b/>
          <w:bCs/>
          <w:sz w:val="28"/>
          <w:szCs w:val="28"/>
        </w:rPr>
        <w:t>21GSGK11201</w:t>
      </w:r>
      <w:r>
        <w:rPr>
          <w:rFonts w:ascii="Times New Roman" w:hAnsi="Times New Roman" w:hint="eastAsia"/>
          <w:b/>
          <w:bCs/>
          <w:sz w:val="28"/>
          <w:szCs w:val="28"/>
        </w:rPr>
        <w:t>）</w:t>
      </w:r>
    </w:p>
    <w:p w:rsidR="000715C0" w:rsidRDefault="000715C0">
      <w:pPr>
        <w:spacing w:line="276" w:lineRule="auto"/>
        <w:jc w:val="center"/>
        <w:rPr>
          <w:rFonts w:ascii="Times New Roman" w:hAnsi="Times New Roman"/>
          <w:b/>
        </w:rPr>
      </w:pPr>
    </w:p>
    <w:p w:rsidR="000715C0" w:rsidRDefault="00CB504C">
      <w:pPr>
        <w:spacing w:line="276" w:lineRule="auto"/>
        <w:rPr>
          <w:rFonts w:ascii="Times New Roman" w:hAnsi="Times New Roman" w:cs="Arial"/>
          <w:b/>
          <w:szCs w:val="21"/>
        </w:rPr>
      </w:pPr>
      <w:bookmarkStart w:id="0" w:name="_Hlk38470305"/>
      <w:r>
        <w:rPr>
          <w:rFonts w:ascii="Times New Roman" w:hAnsi="Times New Roman" w:cs="Arial" w:hint="eastAsia"/>
          <w:b/>
          <w:szCs w:val="21"/>
        </w:rPr>
        <w:t>重要提示：</w:t>
      </w:r>
    </w:p>
    <w:p w:rsidR="000715C0" w:rsidRDefault="00CB504C">
      <w:pPr>
        <w:pStyle w:val="2"/>
        <w:tabs>
          <w:tab w:val="left" w:pos="420"/>
        </w:tabs>
        <w:adjustRightInd w:val="0"/>
        <w:snapToGrid w:val="0"/>
        <w:spacing w:line="300" w:lineRule="auto"/>
        <w:ind w:firstLineChars="0" w:firstLine="0"/>
        <w:jc w:val="left"/>
        <w:rPr>
          <w:rFonts w:ascii="Times New Roman" w:hAnsi="Times New Roman"/>
          <w:b/>
          <w:szCs w:val="21"/>
        </w:rPr>
      </w:pPr>
      <w:r>
        <w:rPr>
          <w:rFonts w:ascii="Times New Roman" w:hAnsi="Times New Roman" w:hint="eastAsia"/>
          <w:b/>
          <w:szCs w:val="21"/>
        </w:rPr>
        <w:t>一、本《理财产品说明书》与《理财产品投资协议书》、《销售（代理销售）协议书》、《风险揭示书》、《投资者权益须知》共同构成完整的不可分割的理财产品销售文件，具有同等的法律效力；</w:t>
      </w:r>
    </w:p>
    <w:p w:rsidR="000715C0" w:rsidRDefault="00CB504C">
      <w:pPr>
        <w:tabs>
          <w:tab w:val="left" w:pos="420"/>
        </w:tabs>
        <w:adjustRightInd w:val="0"/>
        <w:snapToGrid w:val="0"/>
        <w:spacing w:line="300" w:lineRule="auto"/>
        <w:jc w:val="left"/>
        <w:rPr>
          <w:rFonts w:ascii="Times New Roman" w:hAnsi="Times New Roman"/>
          <w:b/>
          <w:szCs w:val="21"/>
        </w:rPr>
      </w:pPr>
      <w:r>
        <w:rPr>
          <w:rFonts w:ascii="Times New Roman" w:hAnsi="Times New Roman" w:hint="eastAsia"/>
          <w:b/>
          <w:szCs w:val="21"/>
        </w:rPr>
        <w:t>二、本产品是由渝农商理财有限责任公司自主设计、投资与运作的理财产品；</w:t>
      </w:r>
    </w:p>
    <w:p w:rsidR="000715C0" w:rsidRDefault="00CB504C">
      <w:pPr>
        <w:tabs>
          <w:tab w:val="left" w:pos="420"/>
        </w:tabs>
        <w:adjustRightInd w:val="0"/>
        <w:snapToGrid w:val="0"/>
        <w:spacing w:line="300" w:lineRule="auto"/>
        <w:jc w:val="left"/>
        <w:rPr>
          <w:rFonts w:ascii="Times New Roman" w:hAnsi="Times New Roman"/>
          <w:b/>
          <w:szCs w:val="21"/>
        </w:rPr>
      </w:pPr>
      <w:r>
        <w:rPr>
          <w:rFonts w:ascii="Times New Roman" w:hAnsi="Times New Roman" w:hint="eastAsia"/>
          <w:b/>
          <w:szCs w:val="21"/>
        </w:rPr>
        <w:t>三、渝农商理财有限责任公司郑重提示：在购买理财产品前，投资者应当仔细阅读理财产品销售文件，确保自己完全明白该项投资的性质和所涉及的风险，详细了解和审慎评估该理财产品的资金投资方向和风险类型等基本情况，在慎重考虑后自行决定购买与自身风险承受能力和资产管理需求匹配的理财产品；</w:t>
      </w:r>
    </w:p>
    <w:p w:rsidR="000715C0" w:rsidRDefault="00CB504C">
      <w:pPr>
        <w:tabs>
          <w:tab w:val="left" w:pos="420"/>
        </w:tabs>
        <w:adjustRightInd w:val="0"/>
        <w:snapToGrid w:val="0"/>
        <w:spacing w:line="300" w:lineRule="auto"/>
        <w:jc w:val="left"/>
        <w:rPr>
          <w:rFonts w:ascii="Times New Roman" w:hAnsi="Times New Roman"/>
          <w:b/>
          <w:szCs w:val="21"/>
        </w:rPr>
      </w:pPr>
      <w:r>
        <w:rPr>
          <w:rFonts w:ascii="Times New Roman" w:hAnsi="Times New Roman" w:hint="eastAsia"/>
          <w:b/>
          <w:szCs w:val="21"/>
        </w:rPr>
        <w:t>四、本理财产品不保证一定盈利，也不保证最低收益和本金安全。理财产品过往业绩不代表其未来表现，不等于理财产品实际收益，投资须谨慎。</w:t>
      </w:r>
    </w:p>
    <w:p w:rsidR="000715C0" w:rsidRDefault="00CB504C">
      <w:pPr>
        <w:adjustRightInd w:val="0"/>
        <w:snapToGrid w:val="0"/>
        <w:spacing w:line="300" w:lineRule="auto"/>
        <w:jc w:val="left"/>
        <w:rPr>
          <w:rFonts w:ascii="Times New Roman" w:hAnsi="Times New Roman" w:cs="宋体"/>
          <w:b/>
          <w:szCs w:val="21"/>
        </w:rPr>
      </w:pPr>
      <w:r>
        <w:rPr>
          <w:rFonts w:ascii="Times New Roman" w:hAnsi="Times New Roman" w:hint="eastAsia"/>
          <w:b/>
          <w:szCs w:val="21"/>
        </w:rPr>
        <w:t>五、</w:t>
      </w:r>
      <w:r>
        <w:rPr>
          <w:rFonts w:ascii="Times New Roman" w:hAnsi="Times New Roman" w:cs="宋体" w:hint="eastAsia"/>
          <w:b/>
          <w:szCs w:val="21"/>
        </w:rPr>
        <w:t>在购买理财产品后，投资者应随时关注该理财产品的信息披露情况，及时获取相关信息。</w:t>
      </w:r>
    </w:p>
    <w:p w:rsidR="000715C0" w:rsidRDefault="000715C0">
      <w:pPr>
        <w:spacing w:line="276" w:lineRule="auto"/>
        <w:ind w:leftChars="172" w:left="361"/>
        <w:jc w:val="left"/>
        <w:rPr>
          <w:rFonts w:ascii="Times New Roman" w:hAnsi="Times New Roman"/>
          <w:b/>
          <w:bCs/>
          <w:szCs w:val="21"/>
        </w:rPr>
      </w:pPr>
    </w:p>
    <w:p w:rsidR="000715C0" w:rsidRDefault="00CB504C">
      <w:pPr>
        <w:adjustRightInd w:val="0"/>
        <w:snapToGrid w:val="0"/>
        <w:spacing w:line="300" w:lineRule="auto"/>
        <w:jc w:val="left"/>
        <w:rPr>
          <w:rFonts w:ascii="宋体" w:hAnsi="宋体" w:cs="宋体"/>
          <w:bCs/>
          <w:szCs w:val="21"/>
        </w:rPr>
      </w:pPr>
      <w:bookmarkStart w:id="1" w:name="_Hlk152860916"/>
      <w:r>
        <w:rPr>
          <w:rFonts w:ascii="宋体" w:hAnsi="宋体" w:cs="宋体" w:hint="eastAsia"/>
          <w:bCs/>
          <w:szCs w:val="21"/>
        </w:rPr>
        <w:t>定义：</w:t>
      </w:r>
    </w:p>
    <w:p w:rsidR="000715C0" w:rsidRDefault="00CB504C">
      <w:pPr>
        <w:adjustRightInd w:val="0"/>
        <w:snapToGrid w:val="0"/>
        <w:spacing w:line="300" w:lineRule="auto"/>
        <w:jc w:val="left"/>
        <w:rPr>
          <w:rFonts w:ascii="宋体" w:hAnsi="宋体"/>
          <w:szCs w:val="21"/>
        </w:rPr>
      </w:pPr>
      <w:bookmarkStart w:id="2" w:name="_Hlk152850442"/>
      <w:r>
        <w:rPr>
          <w:rFonts w:ascii="宋体" w:hAnsi="宋体" w:hint="eastAsia"/>
          <w:szCs w:val="21"/>
        </w:rPr>
        <w:t>在本《理财产品说明书》中，除非上下文另有明确约定，下列用词将具有如下含义：</w:t>
      </w:r>
    </w:p>
    <w:p w:rsidR="000715C0" w:rsidRDefault="00CB504C">
      <w:pPr>
        <w:autoSpaceDE w:val="0"/>
        <w:autoSpaceDN w:val="0"/>
        <w:adjustRightInd w:val="0"/>
        <w:snapToGrid w:val="0"/>
        <w:spacing w:line="300" w:lineRule="auto"/>
        <w:rPr>
          <w:rFonts w:ascii="宋体" w:hAnsi="宋体"/>
          <w:szCs w:val="21"/>
        </w:rPr>
      </w:pPr>
      <w:r>
        <w:rPr>
          <w:rFonts w:ascii="宋体" w:hAnsi="宋体" w:cs="宋体" w:hint="eastAsia"/>
          <w:b/>
          <w:bCs/>
          <w:color w:val="000000"/>
          <w:kern w:val="0"/>
          <w:szCs w:val="21"/>
        </w:rPr>
        <w:t>1</w:t>
      </w:r>
      <w:r>
        <w:rPr>
          <w:rFonts w:ascii="宋体" w:hAnsi="宋体" w:cs="宋体"/>
          <w:b/>
          <w:bCs/>
          <w:color w:val="000000"/>
          <w:kern w:val="0"/>
          <w:szCs w:val="21"/>
        </w:rPr>
        <w:t>.</w:t>
      </w:r>
      <w:r>
        <w:rPr>
          <w:rFonts w:ascii="宋体" w:hAnsi="宋体" w:cs="宋体" w:hint="eastAsia"/>
          <w:b/>
          <w:bCs/>
          <w:color w:val="000000"/>
          <w:kern w:val="0"/>
          <w:szCs w:val="21"/>
        </w:rPr>
        <w:t>渝农商理财</w:t>
      </w:r>
      <w:r>
        <w:rPr>
          <w:rFonts w:ascii="宋体" w:hAnsi="宋体" w:cs="宋体"/>
          <w:b/>
          <w:bCs/>
          <w:color w:val="000000"/>
          <w:kern w:val="0"/>
          <w:szCs w:val="21"/>
        </w:rPr>
        <w:t>/</w:t>
      </w:r>
      <w:r>
        <w:rPr>
          <w:rFonts w:ascii="宋体" w:hAnsi="宋体" w:cs="宋体" w:hint="eastAsia"/>
          <w:b/>
          <w:bCs/>
          <w:color w:val="000000"/>
          <w:kern w:val="0"/>
          <w:szCs w:val="21"/>
        </w:rPr>
        <w:t>产品管理人</w:t>
      </w:r>
      <w:r>
        <w:rPr>
          <w:rFonts w:ascii="宋体" w:hAnsi="宋体" w:cs="宋体" w:hint="eastAsia"/>
          <w:b/>
          <w:bCs/>
          <w:color w:val="000000"/>
          <w:kern w:val="0"/>
          <w:szCs w:val="21"/>
        </w:rPr>
        <w:t>/</w:t>
      </w:r>
      <w:r>
        <w:rPr>
          <w:rFonts w:ascii="宋体" w:hAnsi="宋体" w:cs="宋体" w:hint="eastAsia"/>
          <w:b/>
          <w:bCs/>
          <w:color w:val="000000"/>
          <w:kern w:val="0"/>
          <w:szCs w:val="21"/>
        </w:rPr>
        <w:t>管理人：</w:t>
      </w:r>
      <w:r>
        <w:rPr>
          <w:rFonts w:ascii="宋体" w:hAnsi="宋体" w:hint="eastAsia"/>
          <w:szCs w:val="21"/>
        </w:rPr>
        <w:t>指渝农商理财有限责任公司，官方网站为（</w:t>
      </w:r>
      <w:r>
        <w:rPr>
          <w:rFonts w:ascii="宋体" w:hAnsi="宋体"/>
          <w:szCs w:val="21"/>
        </w:rPr>
        <w:t>wm.cqrcb.com</w:t>
      </w:r>
      <w:r>
        <w:rPr>
          <w:rFonts w:ascii="宋体" w:hAnsi="宋体" w:hint="eastAsia"/>
          <w:szCs w:val="21"/>
        </w:rPr>
        <w:t>）。</w:t>
      </w:r>
    </w:p>
    <w:p w:rsidR="000715C0" w:rsidRDefault="00CB504C">
      <w:pPr>
        <w:autoSpaceDE w:val="0"/>
        <w:autoSpaceDN w:val="0"/>
        <w:adjustRightInd w:val="0"/>
        <w:snapToGrid w:val="0"/>
        <w:spacing w:line="300" w:lineRule="auto"/>
        <w:jc w:val="left"/>
        <w:rPr>
          <w:rFonts w:ascii="宋体" w:hAnsi="宋体"/>
          <w:szCs w:val="21"/>
        </w:rPr>
      </w:pPr>
      <w:r>
        <w:rPr>
          <w:rFonts w:ascii="宋体" w:hAnsi="宋体" w:hint="eastAsia"/>
          <w:b/>
          <w:bCs/>
          <w:kern w:val="0"/>
          <w:szCs w:val="21"/>
        </w:rPr>
        <w:t>2</w:t>
      </w:r>
      <w:r>
        <w:rPr>
          <w:rFonts w:ascii="宋体" w:hAnsi="宋体"/>
          <w:b/>
          <w:bCs/>
          <w:kern w:val="0"/>
          <w:szCs w:val="21"/>
        </w:rPr>
        <w:t>.</w:t>
      </w:r>
      <w:r>
        <w:rPr>
          <w:rFonts w:ascii="宋体" w:hAnsi="宋体" w:hint="eastAsia"/>
          <w:b/>
          <w:bCs/>
          <w:kern w:val="0"/>
          <w:szCs w:val="21"/>
        </w:rPr>
        <w:t>理财产品份额：</w:t>
      </w:r>
      <w:r>
        <w:rPr>
          <w:rFonts w:ascii="宋体" w:hAnsi="宋体" w:hint="eastAsia"/>
          <w:szCs w:val="21"/>
        </w:rPr>
        <w:t>指投资者持有本理财产品的单位数额。投资者基于其所持有的理财产品单位数额享有理财产品利益、承担理财产品风险。</w:t>
      </w:r>
    </w:p>
    <w:p w:rsidR="000715C0" w:rsidRDefault="00CB504C">
      <w:pPr>
        <w:autoSpaceDE w:val="0"/>
        <w:autoSpaceDN w:val="0"/>
        <w:adjustRightInd w:val="0"/>
        <w:snapToGrid w:val="0"/>
        <w:spacing w:line="300" w:lineRule="auto"/>
        <w:rPr>
          <w:rFonts w:ascii="宋体" w:hAnsi="宋体"/>
          <w:szCs w:val="21"/>
        </w:rPr>
      </w:pPr>
      <w:r>
        <w:rPr>
          <w:rFonts w:ascii="宋体" w:hAnsi="宋体" w:hint="eastAsia"/>
          <w:b/>
          <w:bCs/>
          <w:szCs w:val="21"/>
        </w:rPr>
        <w:t>3</w:t>
      </w:r>
      <w:r>
        <w:rPr>
          <w:rFonts w:ascii="宋体" w:hAnsi="宋体" w:hint="eastAsia"/>
          <w:b/>
          <w:bCs/>
          <w:szCs w:val="21"/>
        </w:rPr>
        <w:t>．认购：</w:t>
      </w:r>
      <w:r>
        <w:rPr>
          <w:rFonts w:ascii="宋体" w:hAnsi="宋体" w:hint="eastAsia"/>
          <w:szCs w:val="21"/>
        </w:rPr>
        <w:t>指在理财产品的募集期内申请购买理财产品份额的行为。</w:t>
      </w:r>
    </w:p>
    <w:p w:rsidR="000715C0" w:rsidRDefault="00CB504C">
      <w:pPr>
        <w:adjustRightInd w:val="0"/>
        <w:snapToGrid w:val="0"/>
        <w:spacing w:line="300" w:lineRule="auto"/>
        <w:rPr>
          <w:rFonts w:ascii="宋体" w:hAnsi="宋体"/>
          <w:bCs/>
          <w:szCs w:val="21"/>
        </w:rPr>
      </w:pPr>
      <w:r>
        <w:rPr>
          <w:rFonts w:ascii="宋体" w:hAnsi="宋体" w:hint="eastAsia"/>
          <w:b/>
          <w:bCs/>
          <w:szCs w:val="21"/>
        </w:rPr>
        <w:t>4</w:t>
      </w:r>
      <w:r>
        <w:rPr>
          <w:rFonts w:ascii="宋体" w:hAnsi="宋体"/>
          <w:b/>
          <w:bCs/>
          <w:szCs w:val="21"/>
        </w:rPr>
        <w:t>.</w:t>
      </w:r>
      <w:r>
        <w:rPr>
          <w:rFonts w:ascii="宋体" w:hAnsi="宋体" w:hint="eastAsia"/>
          <w:b/>
          <w:bCs/>
          <w:szCs w:val="21"/>
        </w:rPr>
        <w:t>申购：</w:t>
      </w:r>
      <w:r>
        <w:rPr>
          <w:rFonts w:ascii="宋体" w:hAnsi="宋体" w:hint="eastAsia"/>
          <w:bCs/>
          <w:szCs w:val="21"/>
        </w:rPr>
        <w:t>指投资者在理财产品的开放期内申请购买</w:t>
      </w:r>
      <w:r>
        <w:rPr>
          <w:rFonts w:ascii="宋体" w:hAnsi="宋体" w:hint="eastAsia"/>
          <w:szCs w:val="21"/>
        </w:rPr>
        <w:t>理财产品份额的行为</w:t>
      </w:r>
      <w:r>
        <w:rPr>
          <w:rFonts w:ascii="宋体" w:hAnsi="宋体" w:hint="eastAsia"/>
          <w:bCs/>
          <w:szCs w:val="21"/>
        </w:rPr>
        <w:t>。</w:t>
      </w:r>
    </w:p>
    <w:p w:rsidR="000715C0" w:rsidRDefault="00CB504C">
      <w:pPr>
        <w:autoSpaceDE w:val="0"/>
        <w:autoSpaceDN w:val="0"/>
        <w:adjustRightInd w:val="0"/>
        <w:snapToGrid w:val="0"/>
        <w:spacing w:line="300" w:lineRule="auto"/>
        <w:rPr>
          <w:rFonts w:ascii="宋体" w:hAnsi="宋体"/>
          <w:szCs w:val="21"/>
        </w:rPr>
      </w:pPr>
      <w:r>
        <w:rPr>
          <w:rFonts w:ascii="宋体" w:hAnsi="宋体" w:hint="eastAsia"/>
          <w:b/>
          <w:bCs/>
          <w:szCs w:val="21"/>
        </w:rPr>
        <w:t>5</w:t>
      </w:r>
      <w:r>
        <w:rPr>
          <w:rFonts w:ascii="宋体" w:hAnsi="宋体"/>
          <w:b/>
          <w:bCs/>
          <w:szCs w:val="21"/>
        </w:rPr>
        <w:t>.</w:t>
      </w:r>
      <w:r>
        <w:rPr>
          <w:rFonts w:ascii="宋体" w:hAnsi="宋体" w:hint="eastAsia"/>
          <w:b/>
          <w:bCs/>
          <w:szCs w:val="21"/>
        </w:rPr>
        <w:t>赎回：</w:t>
      </w:r>
      <w:r>
        <w:rPr>
          <w:rFonts w:ascii="宋体" w:hAnsi="宋体" w:hint="eastAsia"/>
          <w:szCs w:val="21"/>
        </w:rPr>
        <w:t>指投资者在理财产品的开放期内申请卖出部分或全部理财产品份额的行为。</w:t>
      </w:r>
    </w:p>
    <w:p w:rsidR="000715C0" w:rsidRDefault="00CB504C">
      <w:pPr>
        <w:autoSpaceDE w:val="0"/>
        <w:autoSpaceDN w:val="0"/>
        <w:adjustRightInd w:val="0"/>
        <w:snapToGrid w:val="0"/>
        <w:spacing w:line="300" w:lineRule="auto"/>
        <w:rPr>
          <w:rFonts w:ascii="宋体" w:hAnsi="宋体"/>
          <w:szCs w:val="21"/>
        </w:rPr>
      </w:pPr>
      <w:bookmarkStart w:id="3" w:name="_Hlk153356714"/>
      <w:bookmarkStart w:id="4" w:name="_Hlk152850499"/>
      <w:bookmarkEnd w:id="2"/>
      <w:r>
        <w:rPr>
          <w:rFonts w:ascii="宋体" w:hAnsi="宋体" w:hint="eastAsia"/>
          <w:b/>
          <w:bCs/>
          <w:szCs w:val="21"/>
        </w:rPr>
        <w:t>6</w:t>
      </w:r>
      <w:r>
        <w:rPr>
          <w:rFonts w:ascii="宋体" w:hAnsi="宋体"/>
          <w:b/>
          <w:bCs/>
          <w:szCs w:val="21"/>
        </w:rPr>
        <w:t>.</w:t>
      </w:r>
      <w:r>
        <w:rPr>
          <w:rFonts w:ascii="宋体" w:hAnsi="宋体" w:hint="eastAsia"/>
          <w:b/>
          <w:bCs/>
          <w:szCs w:val="21"/>
        </w:rPr>
        <w:t>巨额赎回：</w:t>
      </w:r>
      <w:bookmarkStart w:id="5" w:name="_Hlk153356926"/>
      <w:r>
        <w:rPr>
          <w:rFonts w:ascii="宋体" w:hAnsi="宋体" w:hint="eastAsia"/>
          <w:szCs w:val="21"/>
        </w:rPr>
        <w:t>指理财产品单个开放日净赎回申请（赎回申请份额总数扣除申购申请份额总数）超过前一日终理财产品总份额的</w:t>
      </w:r>
      <w:r>
        <w:rPr>
          <w:rFonts w:ascii="宋体" w:hAnsi="宋体"/>
          <w:szCs w:val="21"/>
        </w:rPr>
        <w:t>10%</w:t>
      </w:r>
      <w:r>
        <w:rPr>
          <w:rFonts w:ascii="宋体" w:hAnsi="宋体" w:hint="eastAsia"/>
          <w:szCs w:val="21"/>
        </w:rPr>
        <w:t>的情形。</w:t>
      </w:r>
      <w:bookmarkEnd w:id="5"/>
    </w:p>
    <w:bookmarkEnd w:id="3"/>
    <w:p w:rsidR="000715C0" w:rsidRDefault="00CB504C">
      <w:pPr>
        <w:adjustRightInd w:val="0"/>
        <w:snapToGrid w:val="0"/>
        <w:spacing w:line="300" w:lineRule="auto"/>
        <w:rPr>
          <w:rFonts w:ascii="宋体" w:hAnsi="宋体"/>
          <w:szCs w:val="21"/>
        </w:rPr>
      </w:pPr>
      <w:r>
        <w:rPr>
          <w:rFonts w:ascii="宋体" w:hAnsi="宋体" w:hint="eastAsia"/>
          <w:b/>
          <w:bCs/>
          <w:kern w:val="0"/>
          <w:szCs w:val="21"/>
        </w:rPr>
        <w:t>7</w:t>
      </w:r>
      <w:r>
        <w:rPr>
          <w:rFonts w:ascii="宋体" w:hAnsi="宋体"/>
          <w:b/>
          <w:bCs/>
          <w:kern w:val="0"/>
          <w:szCs w:val="21"/>
        </w:rPr>
        <w:t>.</w:t>
      </w:r>
      <w:r>
        <w:rPr>
          <w:rFonts w:ascii="宋体" w:hAnsi="宋体" w:hint="eastAsia"/>
          <w:b/>
          <w:bCs/>
          <w:kern w:val="0"/>
          <w:szCs w:val="21"/>
        </w:rPr>
        <w:t>募集期（认购期）：</w:t>
      </w:r>
      <w:r>
        <w:rPr>
          <w:rFonts w:ascii="宋体" w:hAnsi="宋体" w:hint="eastAsia"/>
          <w:szCs w:val="21"/>
        </w:rPr>
        <w:t>指理财产品成立前，产品管理人接受理财产品认购的时间。但在该期间内如认购人提交认购申请的认购份额提前达到本《理财产品说明书》所载的产品规模上限的，管理人有权宣布认购期提前结束，停止接受认购申请。管理人可在认购期内公告缩短或延长产品认购期，并进行信息披露，实际认购期以管理人公告为准。</w:t>
      </w:r>
    </w:p>
    <w:p w:rsidR="000715C0" w:rsidRDefault="00CB504C">
      <w:pPr>
        <w:adjustRightInd w:val="0"/>
        <w:snapToGrid w:val="0"/>
        <w:spacing w:line="300" w:lineRule="auto"/>
        <w:rPr>
          <w:rFonts w:ascii="宋体" w:hAnsi="宋体"/>
          <w:szCs w:val="21"/>
        </w:rPr>
      </w:pPr>
      <w:r>
        <w:rPr>
          <w:rFonts w:ascii="宋体" w:hAnsi="宋体" w:hint="eastAsia"/>
          <w:b/>
          <w:bCs/>
          <w:kern w:val="0"/>
          <w:szCs w:val="21"/>
        </w:rPr>
        <w:lastRenderedPageBreak/>
        <w:t>8</w:t>
      </w:r>
      <w:r>
        <w:rPr>
          <w:rFonts w:ascii="宋体" w:hAnsi="宋体"/>
          <w:b/>
          <w:bCs/>
          <w:kern w:val="0"/>
          <w:szCs w:val="21"/>
        </w:rPr>
        <w:t>.</w:t>
      </w:r>
      <w:r>
        <w:rPr>
          <w:rFonts w:ascii="宋体" w:hAnsi="宋体" w:hint="eastAsia"/>
          <w:b/>
          <w:bCs/>
          <w:kern w:val="0"/>
          <w:szCs w:val="21"/>
        </w:rPr>
        <w:t>产品成立日（认购确认日）</w:t>
      </w:r>
      <w:r>
        <w:rPr>
          <w:rFonts w:ascii="宋体" w:hAnsi="宋体" w:hint="eastAsia"/>
          <w:szCs w:val="21"/>
        </w:rPr>
        <w:t>：指达到本《理财产品说明书》约定的成立条件后，管理</w:t>
      </w:r>
      <w:r>
        <w:rPr>
          <w:rFonts w:ascii="宋体" w:hAnsi="宋体" w:hint="eastAsia"/>
          <w:szCs w:val="21"/>
        </w:rPr>
        <w:t>人宣布理财产品成立的日期。</w:t>
      </w:r>
    </w:p>
    <w:p w:rsidR="000715C0" w:rsidRDefault="00CB504C">
      <w:pPr>
        <w:adjustRightInd w:val="0"/>
        <w:snapToGrid w:val="0"/>
        <w:spacing w:line="300" w:lineRule="auto"/>
        <w:rPr>
          <w:rFonts w:ascii="宋体" w:hAnsi="宋体"/>
          <w:szCs w:val="21"/>
        </w:rPr>
      </w:pPr>
      <w:bookmarkStart w:id="6" w:name="_Hlk152850314"/>
      <w:bookmarkEnd w:id="4"/>
      <w:r>
        <w:rPr>
          <w:rFonts w:ascii="宋体" w:hAnsi="宋体" w:hint="eastAsia"/>
          <w:b/>
          <w:bCs/>
          <w:szCs w:val="21"/>
        </w:rPr>
        <w:t>9</w:t>
      </w:r>
      <w:r>
        <w:rPr>
          <w:rFonts w:ascii="宋体" w:hAnsi="宋体"/>
          <w:b/>
          <w:bCs/>
          <w:szCs w:val="21"/>
        </w:rPr>
        <w:t>.</w:t>
      </w:r>
      <w:r>
        <w:rPr>
          <w:rFonts w:ascii="宋体" w:hAnsi="宋体" w:hint="eastAsia"/>
          <w:b/>
          <w:bCs/>
          <w:szCs w:val="21"/>
        </w:rPr>
        <w:t>产品到期日</w:t>
      </w:r>
      <w:r>
        <w:rPr>
          <w:rFonts w:ascii="宋体" w:hAnsi="宋体"/>
          <w:b/>
          <w:bCs/>
          <w:szCs w:val="21"/>
        </w:rPr>
        <w:t>/</w:t>
      </w:r>
      <w:r>
        <w:rPr>
          <w:rFonts w:ascii="宋体" w:hAnsi="宋体" w:hint="eastAsia"/>
          <w:b/>
          <w:bCs/>
          <w:szCs w:val="21"/>
        </w:rPr>
        <w:t>终止日</w:t>
      </w:r>
      <w:r>
        <w:rPr>
          <w:rFonts w:ascii="宋体" w:hAnsi="宋体" w:hint="eastAsia"/>
          <w:szCs w:val="21"/>
        </w:rPr>
        <w:t>：指本理财产品实际终止之日，根据实际情况，是指理财产品预计到期日，或产品管理人根据本《理财产品说明书》约定宣布本理财产品早于预计到期日而终止之日或宣布本理财产品运作期间延长后的终止之日（含延长后的到期终止之日，以及产品管理人在延期期限内根据本《理财产品说明书》约定宣布本理财产品终止之日）。</w:t>
      </w:r>
    </w:p>
    <w:bookmarkEnd w:id="6"/>
    <w:p w:rsidR="000715C0" w:rsidRDefault="00CB504C">
      <w:pPr>
        <w:autoSpaceDE w:val="0"/>
        <w:autoSpaceDN w:val="0"/>
        <w:adjustRightInd w:val="0"/>
        <w:snapToGrid w:val="0"/>
        <w:spacing w:line="300" w:lineRule="auto"/>
        <w:jc w:val="left"/>
        <w:rPr>
          <w:rFonts w:ascii="宋体" w:hAnsi="宋体"/>
          <w:szCs w:val="21"/>
        </w:rPr>
      </w:pPr>
      <w:r>
        <w:rPr>
          <w:rFonts w:ascii="宋体" w:hAnsi="宋体" w:hint="eastAsia"/>
          <w:b/>
          <w:bCs/>
          <w:szCs w:val="21"/>
        </w:rPr>
        <w:t>1</w:t>
      </w:r>
      <w:r>
        <w:rPr>
          <w:rFonts w:ascii="宋体" w:hAnsi="宋体" w:hint="eastAsia"/>
          <w:b/>
          <w:bCs/>
          <w:szCs w:val="21"/>
        </w:rPr>
        <w:t>0</w:t>
      </w:r>
      <w:r>
        <w:rPr>
          <w:rFonts w:ascii="宋体" w:hAnsi="宋体"/>
          <w:b/>
          <w:bCs/>
          <w:szCs w:val="21"/>
        </w:rPr>
        <w:t>.</w:t>
      </w:r>
      <w:r>
        <w:rPr>
          <w:rFonts w:ascii="宋体" w:hAnsi="宋体" w:hint="eastAsia"/>
          <w:b/>
          <w:bCs/>
          <w:szCs w:val="21"/>
        </w:rPr>
        <w:t>产品存续期</w:t>
      </w:r>
      <w:r>
        <w:rPr>
          <w:rFonts w:ascii="宋体" w:hAnsi="宋体"/>
          <w:b/>
          <w:bCs/>
          <w:szCs w:val="21"/>
        </w:rPr>
        <w:t>/</w:t>
      </w:r>
      <w:r>
        <w:rPr>
          <w:rFonts w:ascii="宋体" w:hAnsi="宋体" w:hint="eastAsia"/>
          <w:b/>
          <w:bCs/>
          <w:szCs w:val="21"/>
        </w:rPr>
        <w:t>存续期：</w:t>
      </w:r>
      <w:r>
        <w:rPr>
          <w:rFonts w:ascii="宋体" w:hAnsi="宋体" w:hint="eastAsia"/>
          <w:szCs w:val="21"/>
        </w:rPr>
        <w:t>指自理财产品成立日起，至理财产品终止日的期间。</w:t>
      </w:r>
    </w:p>
    <w:p w:rsidR="000715C0" w:rsidRDefault="00CB504C">
      <w:pPr>
        <w:autoSpaceDE w:val="0"/>
        <w:autoSpaceDN w:val="0"/>
        <w:adjustRightInd w:val="0"/>
        <w:snapToGrid w:val="0"/>
        <w:spacing w:line="300" w:lineRule="auto"/>
        <w:jc w:val="left"/>
        <w:rPr>
          <w:rFonts w:ascii="宋体" w:hAnsi="宋体"/>
          <w:szCs w:val="21"/>
        </w:rPr>
      </w:pPr>
      <w:r>
        <w:rPr>
          <w:rFonts w:ascii="宋体" w:hAnsi="宋体" w:hint="eastAsia"/>
          <w:b/>
          <w:bCs/>
          <w:szCs w:val="21"/>
        </w:rPr>
        <w:t>1</w:t>
      </w:r>
      <w:r>
        <w:rPr>
          <w:rFonts w:ascii="宋体" w:hAnsi="宋体" w:hint="eastAsia"/>
          <w:b/>
          <w:bCs/>
          <w:szCs w:val="21"/>
        </w:rPr>
        <w:t>1</w:t>
      </w:r>
      <w:r>
        <w:rPr>
          <w:rFonts w:ascii="宋体" w:hAnsi="宋体"/>
          <w:b/>
          <w:bCs/>
          <w:szCs w:val="21"/>
        </w:rPr>
        <w:t>.</w:t>
      </w:r>
      <w:r>
        <w:rPr>
          <w:rFonts w:ascii="宋体" w:hAnsi="宋体" w:hint="eastAsia"/>
          <w:b/>
          <w:bCs/>
          <w:szCs w:val="21"/>
        </w:rPr>
        <w:t>工作日：</w:t>
      </w:r>
      <w:r>
        <w:rPr>
          <w:rFonts w:ascii="宋体" w:hAnsi="宋体" w:hint="eastAsia"/>
          <w:szCs w:val="21"/>
        </w:rPr>
        <w:t>指</w:t>
      </w:r>
      <w:r>
        <w:rPr>
          <w:rFonts w:ascii="宋体" w:hAnsi="宋体" w:hint="eastAsia"/>
          <w:bCs/>
          <w:szCs w:val="21"/>
        </w:rPr>
        <w:t>中华人民共和国国家法定工作日</w:t>
      </w:r>
      <w:r>
        <w:rPr>
          <w:rFonts w:ascii="宋体" w:hAnsi="宋体" w:hint="eastAsia"/>
          <w:szCs w:val="21"/>
        </w:rPr>
        <w:t>。</w:t>
      </w:r>
    </w:p>
    <w:p w:rsidR="000715C0" w:rsidRDefault="00CB504C">
      <w:pPr>
        <w:autoSpaceDE w:val="0"/>
        <w:autoSpaceDN w:val="0"/>
        <w:adjustRightInd w:val="0"/>
        <w:snapToGrid w:val="0"/>
        <w:spacing w:line="300" w:lineRule="auto"/>
        <w:jc w:val="left"/>
        <w:rPr>
          <w:rFonts w:ascii="宋体" w:hAnsi="宋体"/>
          <w:szCs w:val="21"/>
        </w:rPr>
      </w:pPr>
      <w:bookmarkStart w:id="7" w:name="_Hlk152860280"/>
      <w:r>
        <w:rPr>
          <w:rFonts w:ascii="宋体" w:hAnsi="宋体" w:hint="eastAsia"/>
          <w:b/>
          <w:bCs/>
          <w:szCs w:val="21"/>
        </w:rPr>
        <w:t>1</w:t>
      </w:r>
      <w:r>
        <w:rPr>
          <w:rFonts w:ascii="宋体" w:hAnsi="宋体" w:hint="eastAsia"/>
          <w:b/>
          <w:bCs/>
          <w:szCs w:val="21"/>
        </w:rPr>
        <w:t>2</w:t>
      </w:r>
      <w:r>
        <w:rPr>
          <w:rFonts w:ascii="宋体" w:hAnsi="宋体"/>
          <w:b/>
          <w:bCs/>
          <w:szCs w:val="21"/>
        </w:rPr>
        <w:t>.</w:t>
      </w:r>
      <w:r>
        <w:rPr>
          <w:rFonts w:ascii="宋体" w:hAnsi="宋体" w:hint="eastAsia"/>
          <w:b/>
          <w:bCs/>
          <w:szCs w:val="21"/>
        </w:rPr>
        <w:t>交易日：</w:t>
      </w:r>
      <w:r>
        <w:rPr>
          <w:rFonts w:ascii="宋体" w:hAnsi="宋体" w:hint="eastAsia"/>
          <w:szCs w:val="21"/>
        </w:rPr>
        <w:t>指中国大陆证券交易所正常开盘交易日。</w:t>
      </w:r>
      <w:bookmarkEnd w:id="7"/>
    </w:p>
    <w:p w:rsidR="000715C0" w:rsidRDefault="00CB504C">
      <w:pPr>
        <w:autoSpaceDE w:val="0"/>
        <w:autoSpaceDN w:val="0"/>
        <w:adjustRightInd w:val="0"/>
        <w:snapToGrid w:val="0"/>
        <w:spacing w:line="300" w:lineRule="auto"/>
        <w:jc w:val="left"/>
        <w:rPr>
          <w:rFonts w:ascii="宋体" w:hAnsi="宋体"/>
          <w:szCs w:val="21"/>
        </w:rPr>
      </w:pPr>
      <w:r>
        <w:rPr>
          <w:rFonts w:ascii="宋体" w:hAnsi="宋体" w:hint="eastAsia"/>
          <w:b/>
          <w:bCs/>
          <w:szCs w:val="21"/>
        </w:rPr>
        <w:t>1</w:t>
      </w:r>
      <w:r>
        <w:rPr>
          <w:rFonts w:ascii="宋体" w:hAnsi="宋体" w:hint="eastAsia"/>
          <w:b/>
          <w:bCs/>
          <w:szCs w:val="21"/>
        </w:rPr>
        <w:t>3</w:t>
      </w:r>
      <w:r>
        <w:rPr>
          <w:rFonts w:ascii="宋体" w:hAnsi="宋体"/>
          <w:b/>
          <w:bCs/>
          <w:szCs w:val="21"/>
        </w:rPr>
        <w:t>.</w:t>
      </w:r>
      <w:r>
        <w:rPr>
          <w:rFonts w:ascii="宋体" w:hAnsi="宋体" w:hint="eastAsia"/>
          <w:b/>
          <w:bCs/>
          <w:szCs w:val="21"/>
        </w:rPr>
        <w:t>固定收益类</w:t>
      </w:r>
      <w:r>
        <w:rPr>
          <w:rFonts w:ascii="宋体" w:hAnsi="宋体"/>
          <w:b/>
          <w:bCs/>
          <w:szCs w:val="21"/>
        </w:rPr>
        <w:t>/</w:t>
      </w:r>
      <w:r>
        <w:rPr>
          <w:rFonts w:ascii="宋体" w:hAnsi="宋体" w:hint="eastAsia"/>
          <w:b/>
          <w:bCs/>
          <w:szCs w:val="21"/>
        </w:rPr>
        <w:t>权益类</w:t>
      </w:r>
      <w:r>
        <w:rPr>
          <w:rFonts w:ascii="宋体" w:hAnsi="宋体"/>
          <w:b/>
          <w:bCs/>
          <w:szCs w:val="21"/>
        </w:rPr>
        <w:t>/</w:t>
      </w:r>
      <w:r>
        <w:rPr>
          <w:rFonts w:ascii="宋体" w:hAnsi="宋体" w:hint="eastAsia"/>
          <w:b/>
          <w:bCs/>
          <w:szCs w:val="21"/>
        </w:rPr>
        <w:t>商品及衍生品类</w:t>
      </w:r>
      <w:r>
        <w:rPr>
          <w:rFonts w:ascii="宋体" w:hAnsi="宋体" w:hint="eastAsia"/>
          <w:b/>
          <w:bCs/>
          <w:szCs w:val="21"/>
        </w:rPr>
        <w:t>/</w:t>
      </w:r>
      <w:r>
        <w:rPr>
          <w:rFonts w:ascii="宋体" w:hAnsi="宋体" w:hint="eastAsia"/>
          <w:b/>
          <w:bCs/>
          <w:szCs w:val="21"/>
        </w:rPr>
        <w:t>混合类理财产品：</w:t>
      </w:r>
      <w:r>
        <w:rPr>
          <w:rFonts w:ascii="宋体" w:hAnsi="宋体" w:hint="eastAsia"/>
          <w:szCs w:val="21"/>
        </w:rPr>
        <w:t>固定收益类理财产品是指投资于存款、债券等债权类资产的比例不低于</w:t>
      </w:r>
      <w:r>
        <w:rPr>
          <w:rFonts w:ascii="宋体" w:hAnsi="宋体"/>
          <w:szCs w:val="21"/>
        </w:rPr>
        <w:t>80</w:t>
      </w:r>
      <w:r>
        <w:rPr>
          <w:rFonts w:ascii="宋体" w:hAnsi="宋体" w:hint="eastAsia"/>
          <w:szCs w:val="21"/>
        </w:rPr>
        <w:t>％的理财产品，权益类理财产品是指投资于股票等权益类资产的比例不低于</w:t>
      </w:r>
      <w:r>
        <w:rPr>
          <w:rFonts w:ascii="宋体" w:hAnsi="宋体"/>
          <w:szCs w:val="21"/>
        </w:rPr>
        <w:t>80</w:t>
      </w:r>
      <w:r>
        <w:rPr>
          <w:rFonts w:ascii="宋体" w:hAnsi="宋体" w:hint="eastAsia"/>
          <w:szCs w:val="21"/>
        </w:rPr>
        <w:t>％的理财产品，商品及金融衍生品类理财产品是指投资于商品及金融衍生品的比例不低于</w:t>
      </w:r>
      <w:r>
        <w:rPr>
          <w:rFonts w:ascii="宋体" w:hAnsi="宋体"/>
          <w:szCs w:val="21"/>
        </w:rPr>
        <w:t>80</w:t>
      </w:r>
      <w:r>
        <w:rPr>
          <w:rFonts w:ascii="宋体" w:hAnsi="宋体" w:hint="eastAsia"/>
          <w:szCs w:val="21"/>
        </w:rPr>
        <w:t>％的理财产品，混合类理财产品是指投资于债权类资产、权益类资产、商品及金融衍生品类资产且任一资产的投资比例未达到前三类产品标准的理财产品。</w:t>
      </w:r>
    </w:p>
    <w:p w:rsidR="000715C0" w:rsidRDefault="00CB504C">
      <w:pPr>
        <w:autoSpaceDE w:val="0"/>
        <w:autoSpaceDN w:val="0"/>
        <w:adjustRightInd w:val="0"/>
        <w:snapToGrid w:val="0"/>
        <w:spacing w:line="300" w:lineRule="auto"/>
        <w:jc w:val="left"/>
        <w:rPr>
          <w:rFonts w:ascii="宋体" w:hAnsi="宋体"/>
          <w:szCs w:val="21"/>
        </w:rPr>
      </w:pPr>
      <w:r>
        <w:rPr>
          <w:rFonts w:ascii="宋体" w:hAnsi="宋体"/>
          <w:b/>
          <w:bCs/>
          <w:szCs w:val="21"/>
        </w:rPr>
        <w:t>1</w:t>
      </w:r>
      <w:r>
        <w:rPr>
          <w:rFonts w:ascii="宋体" w:hAnsi="宋体" w:hint="eastAsia"/>
          <w:b/>
          <w:bCs/>
          <w:szCs w:val="21"/>
        </w:rPr>
        <w:t>4</w:t>
      </w:r>
      <w:r>
        <w:rPr>
          <w:rFonts w:ascii="宋体" w:hAnsi="宋体"/>
          <w:b/>
          <w:bCs/>
          <w:szCs w:val="21"/>
        </w:rPr>
        <w:t>.</w:t>
      </w:r>
      <w:bookmarkStart w:id="8" w:name="_Hlk155863124"/>
      <w:r>
        <w:rPr>
          <w:rFonts w:ascii="宋体" w:hAnsi="宋体" w:hint="eastAsia"/>
          <w:b/>
          <w:bCs/>
          <w:szCs w:val="21"/>
        </w:rPr>
        <w:t>公募理财产品：</w:t>
      </w:r>
      <w:r>
        <w:rPr>
          <w:rFonts w:ascii="宋体" w:hAnsi="宋体" w:hint="eastAsia"/>
          <w:szCs w:val="21"/>
        </w:rPr>
        <w:t>指面向不特定社会公众公开发行的理财产品。</w:t>
      </w:r>
    </w:p>
    <w:bookmarkEnd w:id="8"/>
    <w:p w:rsidR="000715C0" w:rsidRDefault="00CB504C">
      <w:pPr>
        <w:autoSpaceDE w:val="0"/>
        <w:autoSpaceDN w:val="0"/>
        <w:adjustRightInd w:val="0"/>
        <w:snapToGrid w:val="0"/>
        <w:spacing w:line="300" w:lineRule="auto"/>
        <w:jc w:val="left"/>
        <w:rPr>
          <w:rFonts w:ascii="宋体" w:hAnsi="宋体"/>
          <w:szCs w:val="21"/>
        </w:rPr>
      </w:pPr>
      <w:r>
        <w:rPr>
          <w:rFonts w:ascii="宋体" w:hAnsi="宋体"/>
          <w:b/>
          <w:bCs/>
          <w:szCs w:val="21"/>
        </w:rPr>
        <w:t>1</w:t>
      </w:r>
      <w:r>
        <w:rPr>
          <w:rFonts w:ascii="宋体" w:hAnsi="宋体" w:hint="eastAsia"/>
          <w:b/>
          <w:bCs/>
          <w:szCs w:val="21"/>
        </w:rPr>
        <w:t>5</w:t>
      </w:r>
      <w:r>
        <w:rPr>
          <w:rFonts w:ascii="宋体" w:hAnsi="宋体"/>
          <w:b/>
          <w:bCs/>
          <w:szCs w:val="21"/>
        </w:rPr>
        <w:t>.</w:t>
      </w:r>
      <w:bookmarkStart w:id="9" w:name="_Hlk155863130"/>
      <w:r>
        <w:rPr>
          <w:rFonts w:ascii="宋体" w:hAnsi="宋体" w:hint="eastAsia"/>
          <w:b/>
          <w:bCs/>
          <w:szCs w:val="21"/>
        </w:rPr>
        <w:t>私募理财产品：</w:t>
      </w:r>
      <w:r>
        <w:rPr>
          <w:rFonts w:ascii="宋体" w:hAnsi="宋体" w:hint="eastAsia"/>
          <w:szCs w:val="21"/>
        </w:rPr>
        <w:t>指面向合格投资者非公开发行的理财产品。</w:t>
      </w:r>
    </w:p>
    <w:bookmarkEnd w:id="9"/>
    <w:p w:rsidR="000715C0" w:rsidRDefault="00CB504C">
      <w:pPr>
        <w:autoSpaceDE w:val="0"/>
        <w:autoSpaceDN w:val="0"/>
        <w:adjustRightInd w:val="0"/>
        <w:snapToGrid w:val="0"/>
        <w:spacing w:line="300" w:lineRule="auto"/>
        <w:jc w:val="left"/>
        <w:rPr>
          <w:rFonts w:ascii="宋体" w:hAnsi="宋体"/>
          <w:b/>
          <w:bCs/>
          <w:szCs w:val="21"/>
        </w:rPr>
      </w:pPr>
      <w:r>
        <w:rPr>
          <w:rFonts w:ascii="宋体" w:hAnsi="宋体" w:hint="eastAsia"/>
          <w:b/>
          <w:bCs/>
          <w:szCs w:val="21"/>
        </w:rPr>
        <w:t>1</w:t>
      </w:r>
      <w:r>
        <w:rPr>
          <w:rFonts w:ascii="宋体" w:hAnsi="宋体" w:hint="eastAsia"/>
          <w:b/>
          <w:bCs/>
          <w:szCs w:val="21"/>
        </w:rPr>
        <w:t>6</w:t>
      </w:r>
      <w:r>
        <w:rPr>
          <w:rFonts w:ascii="宋体" w:hAnsi="宋体"/>
          <w:b/>
          <w:bCs/>
          <w:szCs w:val="21"/>
        </w:rPr>
        <w:t>.</w:t>
      </w:r>
      <w:r>
        <w:rPr>
          <w:rFonts w:ascii="宋体" w:hAnsi="宋体" w:hint="eastAsia"/>
          <w:b/>
          <w:bCs/>
          <w:szCs w:val="21"/>
        </w:rPr>
        <w:t>业绩比较基准：</w:t>
      </w:r>
      <w:r>
        <w:rPr>
          <w:rFonts w:ascii="宋体" w:hAnsi="宋体" w:hint="eastAsia"/>
          <w:szCs w:val="21"/>
        </w:rPr>
        <w:t>指产品管理人基于市场环境、产品性质、投资策略、过往经验等因素对产品设定的投资目标，</w:t>
      </w:r>
      <w:r>
        <w:rPr>
          <w:rFonts w:ascii="宋体" w:hAnsi="宋体" w:hint="eastAsia"/>
          <w:b/>
          <w:bCs/>
          <w:szCs w:val="21"/>
        </w:rPr>
        <w:t>业绩比较基准仅作为参考，不具有法律约束力，不是预期收益率，不代表本产品的未来表现和实际收益，不构成对本产品的任何收益承诺。</w:t>
      </w:r>
    </w:p>
    <w:p w:rsidR="000715C0" w:rsidRDefault="00CB504C">
      <w:pPr>
        <w:autoSpaceDE w:val="0"/>
        <w:autoSpaceDN w:val="0"/>
        <w:adjustRightInd w:val="0"/>
        <w:snapToGrid w:val="0"/>
        <w:spacing w:line="300" w:lineRule="auto"/>
        <w:jc w:val="left"/>
        <w:rPr>
          <w:rFonts w:ascii="宋体" w:hAnsi="宋体"/>
          <w:szCs w:val="21"/>
        </w:rPr>
      </w:pPr>
      <w:r>
        <w:rPr>
          <w:rFonts w:ascii="宋体" w:hAnsi="宋体" w:hint="eastAsia"/>
          <w:b/>
          <w:bCs/>
          <w:szCs w:val="21"/>
        </w:rPr>
        <w:t>1</w:t>
      </w:r>
      <w:r>
        <w:rPr>
          <w:rFonts w:ascii="宋体" w:hAnsi="宋体" w:hint="eastAsia"/>
          <w:b/>
          <w:bCs/>
          <w:szCs w:val="21"/>
        </w:rPr>
        <w:t>7</w:t>
      </w:r>
      <w:r>
        <w:rPr>
          <w:rFonts w:ascii="宋体" w:hAnsi="宋体"/>
          <w:b/>
          <w:bCs/>
          <w:szCs w:val="21"/>
        </w:rPr>
        <w:t>.</w:t>
      </w:r>
      <w:r>
        <w:rPr>
          <w:rFonts w:ascii="宋体" w:hAnsi="宋体" w:hint="eastAsia"/>
          <w:b/>
          <w:bCs/>
          <w:szCs w:val="21"/>
        </w:rPr>
        <w:t>流动性受限资产：</w:t>
      </w:r>
      <w:r>
        <w:rPr>
          <w:rFonts w:ascii="宋体" w:hAnsi="宋体" w:hint="eastAsia"/>
          <w:szCs w:val="21"/>
        </w:rPr>
        <w:t>指由于法律法规、监管、合同或操作障碍等原因无法以合理价格予以变现的资产，包括到期日在</w:t>
      </w:r>
      <w:r>
        <w:rPr>
          <w:rFonts w:ascii="宋体" w:hAnsi="宋体" w:hint="eastAsia"/>
          <w:szCs w:val="21"/>
        </w:rPr>
        <w:t>10</w:t>
      </w:r>
      <w:r>
        <w:rPr>
          <w:rFonts w:ascii="宋体" w:hAnsi="宋体" w:hint="eastAsia"/>
          <w:szCs w:val="21"/>
        </w:rPr>
        <w:t>个交易日以上的逆回购与银行定期存款（含协议约定有条件提前支取的银行存款）、距可赎回日在</w:t>
      </w:r>
      <w:r>
        <w:rPr>
          <w:rFonts w:ascii="宋体" w:hAnsi="宋体" w:hint="eastAsia"/>
          <w:szCs w:val="21"/>
        </w:rPr>
        <w:t>10</w:t>
      </w:r>
      <w:r>
        <w:rPr>
          <w:rFonts w:ascii="宋体" w:hAnsi="宋体" w:hint="eastAsia"/>
          <w:szCs w:val="21"/>
        </w:rPr>
        <w:t>个交易日以上的资产管理产品、停牌股票、流通受限的新股及非公开发行股票、资产支持证券（票据），因发行人债务违约无法进行转让或交易的债券和非金融企业债务融资工具，以及其他流动性受限资产。</w:t>
      </w:r>
    </w:p>
    <w:p w:rsidR="000715C0" w:rsidRDefault="00CB504C">
      <w:pPr>
        <w:autoSpaceDE w:val="0"/>
        <w:autoSpaceDN w:val="0"/>
        <w:adjustRightInd w:val="0"/>
        <w:snapToGrid w:val="0"/>
        <w:spacing w:line="300" w:lineRule="auto"/>
        <w:jc w:val="left"/>
        <w:rPr>
          <w:rFonts w:ascii="宋体" w:hAnsi="宋体"/>
          <w:szCs w:val="21"/>
        </w:rPr>
      </w:pPr>
      <w:r>
        <w:rPr>
          <w:rFonts w:ascii="宋体" w:hAnsi="宋体" w:hint="eastAsia"/>
          <w:b/>
          <w:bCs/>
          <w:szCs w:val="21"/>
        </w:rPr>
        <w:t>1</w:t>
      </w:r>
      <w:r>
        <w:rPr>
          <w:rFonts w:ascii="宋体" w:hAnsi="宋体" w:hint="eastAsia"/>
          <w:b/>
          <w:bCs/>
          <w:szCs w:val="21"/>
        </w:rPr>
        <w:t>8</w:t>
      </w:r>
      <w:r>
        <w:rPr>
          <w:rFonts w:ascii="宋体" w:hAnsi="宋体"/>
          <w:b/>
          <w:bCs/>
          <w:szCs w:val="21"/>
        </w:rPr>
        <w:t>.</w:t>
      </w:r>
      <w:r>
        <w:rPr>
          <w:rFonts w:ascii="宋体" w:hAnsi="宋体" w:hint="eastAsia"/>
          <w:b/>
          <w:bCs/>
          <w:szCs w:val="21"/>
        </w:rPr>
        <w:t>理财产品估值：</w:t>
      </w:r>
      <w:r>
        <w:rPr>
          <w:rFonts w:ascii="宋体" w:hAnsi="宋体" w:hint="eastAsia"/>
          <w:szCs w:val="21"/>
        </w:rPr>
        <w:t>指计算评估理财产品资产以确定理财产品单位净值的过程。</w:t>
      </w:r>
    </w:p>
    <w:p w:rsidR="000715C0" w:rsidRDefault="00CB504C">
      <w:pPr>
        <w:autoSpaceDE w:val="0"/>
        <w:autoSpaceDN w:val="0"/>
        <w:adjustRightInd w:val="0"/>
        <w:snapToGrid w:val="0"/>
        <w:spacing w:line="300" w:lineRule="auto"/>
        <w:jc w:val="left"/>
        <w:rPr>
          <w:rFonts w:ascii="宋体" w:hAnsi="宋体"/>
          <w:szCs w:val="21"/>
        </w:rPr>
      </w:pPr>
      <w:r>
        <w:rPr>
          <w:rFonts w:ascii="宋体" w:hAnsi="宋体" w:hint="eastAsia"/>
          <w:b/>
          <w:bCs/>
          <w:szCs w:val="21"/>
        </w:rPr>
        <w:t>19</w:t>
      </w:r>
      <w:r>
        <w:rPr>
          <w:rFonts w:ascii="宋体" w:hAnsi="宋体"/>
          <w:b/>
          <w:bCs/>
          <w:szCs w:val="21"/>
        </w:rPr>
        <w:t>.</w:t>
      </w:r>
      <w:r>
        <w:rPr>
          <w:rFonts w:ascii="宋体" w:hAnsi="宋体" w:hint="eastAsia"/>
          <w:b/>
          <w:bCs/>
          <w:szCs w:val="21"/>
        </w:rPr>
        <w:t>元：</w:t>
      </w:r>
      <w:r>
        <w:rPr>
          <w:rFonts w:ascii="宋体" w:hAnsi="宋体" w:hint="eastAsia"/>
          <w:szCs w:val="21"/>
        </w:rPr>
        <w:t>指人民币元。</w:t>
      </w:r>
    </w:p>
    <w:p w:rsidR="000715C0" w:rsidRDefault="00CB504C">
      <w:pPr>
        <w:autoSpaceDE w:val="0"/>
        <w:autoSpaceDN w:val="0"/>
        <w:adjustRightInd w:val="0"/>
        <w:snapToGrid w:val="0"/>
        <w:spacing w:line="300" w:lineRule="auto"/>
        <w:jc w:val="left"/>
        <w:rPr>
          <w:rFonts w:ascii="宋体" w:hAnsi="宋体"/>
          <w:b/>
          <w:bCs/>
          <w:szCs w:val="21"/>
        </w:rPr>
      </w:pPr>
      <w:r>
        <w:rPr>
          <w:rFonts w:ascii="宋体" w:hAnsi="宋体"/>
          <w:b/>
          <w:bCs/>
          <w:szCs w:val="21"/>
        </w:rPr>
        <w:t>2</w:t>
      </w:r>
      <w:r>
        <w:rPr>
          <w:rFonts w:ascii="宋体" w:hAnsi="宋体" w:hint="eastAsia"/>
          <w:b/>
          <w:bCs/>
          <w:szCs w:val="21"/>
        </w:rPr>
        <w:t>0</w:t>
      </w:r>
      <w:r>
        <w:rPr>
          <w:rFonts w:ascii="宋体" w:hAnsi="宋体"/>
          <w:b/>
          <w:bCs/>
          <w:szCs w:val="21"/>
        </w:rPr>
        <w:t>.</w:t>
      </w:r>
      <w:r>
        <w:rPr>
          <w:rFonts w:ascii="宋体" w:hAnsi="宋体" w:hint="eastAsia"/>
          <w:b/>
          <w:bCs/>
          <w:szCs w:val="21"/>
        </w:rPr>
        <w:t>不可抗力：指理财产品各方不能预见、不能避免且不</w:t>
      </w:r>
      <w:r>
        <w:rPr>
          <w:rFonts w:ascii="宋体" w:hAnsi="宋体" w:hint="eastAsia"/>
          <w:b/>
          <w:bCs/>
          <w:szCs w:val="21"/>
        </w:rPr>
        <w:t>能克服的客观情况，该事件妨碍、影响或延误任何一方依理财产品销售文件履行其全部或部分义务。该事件包括但不限于法律法规及监管政策变化、紧急措施的出台，火灾、地震、洪水等自然灾害，战争、军事行动、罢工、流行病等不能预见、不能避免、不能克服的事件等。</w:t>
      </w:r>
    </w:p>
    <w:p w:rsidR="000715C0" w:rsidRDefault="00CB504C">
      <w:pPr>
        <w:autoSpaceDE w:val="0"/>
        <w:autoSpaceDN w:val="0"/>
        <w:adjustRightInd w:val="0"/>
        <w:snapToGrid w:val="0"/>
        <w:spacing w:line="300" w:lineRule="auto"/>
        <w:jc w:val="left"/>
        <w:rPr>
          <w:rFonts w:ascii="宋体" w:hAnsi="宋体"/>
          <w:b/>
          <w:bCs/>
          <w:szCs w:val="21"/>
        </w:rPr>
      </w:pPr>
      <w:r>
        <w:rPr>
          <w:rFonts w:ascii="宋体" w:hAnsi="宋体" w:hint="eastAsia"/>
          <w:b/>
          <w:bCs/>
          <w:szCs w:val="21"/>
        </w:rPr>
        <w:t>2</w:t>
      </w:r>
      <w:r>
        <w:rPr>
          <w:rFonts w:ascii="宋体" w:hAnsi="宋体" w:hint="eastAsia"/>
          <w:b/>
          <w:bCs/>
          <w:szCs w:val="21"/>
        </w:rPr>
        <w:t>1</w:t>
      </w:r>
      <w:r>
        <w:rPr>
          <w:rFonts w:ascii="宋体" w:hAnsi="宋体"/>
          <w:b/>
          <w:bCs/>
          <w:szCs w:val="21"/>
        </w:rPr>
        <w:t>.</w:t>
      </w:r>
      <w:r>
        <w:rPr>
          <w:rFonts w:ascii="宋体" w:hAnsi="宋体" w:hint="eastAsia"/>
          <w:b/>
          <w:bCs/>
          <w:szCs w:val="21"/>
        </w:rPr>
        <w:t>意外事件：包括但不限于系统故障、通讯故障、电力系统故障、金融危机、投资市场或投资品无法正常交易等情况。</w:t>
      </w:r>
    </w:p>
    <w:p w:rsidR="000715C0" w:rsidRDefault="000715C0">
      <w:pPr>
        <w:autoSpaceDE w:val="0"/>
        <w:autoSpaceDN w:val="0"/>
        <w:adjustRightInd w:val="0"/>
        <w:spacing w:line="276" w:lineRule="auto"/>
        <w:jc w:val="left"/>
        <w:rPr>
          <w:rFonts w:ascii="宋体" w:hAnsi="宋体"/>
          <w:b/>
          <w:bCs/>
          <w:szCs w:val="21"/>
        </w:rPr>
      </w:pPr>
    </w:p>
    <w:bookmarkEnd w:id="0"/>
    <w:bookmarkEnd w:id="1"/>
    <w:p w:rsidR="000715C0" w:rsidRDefault="00CB504C">
      <w:pPr>
        <w:spacing w:line="276" w:lineRule="auto"/>
        <w:outlineLvl w:val="0"/>
        <w:rPr>
          <w:rFonts w:ascii="Times New Roman" w:hAnsi="Times New Roman"/>
          <w:b/>
          <w:bCs/>
          <w:szCs w:val="21"/>
        </w:rPr>
      </w:pPr>
      <w:r>
        <w:rPr>
          <w:rFonts w:ascii="Times New Roman" w:hAnsi="Times New Roman" w:hint="eastAsia"/>
          <w:b/>
          <w:bCs/>
          <w:szCs w:val="21"/>
        </w:rPr>
        <w:t>一、产品概述</w:t>
      </w: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9"/>
        <w:gridCol w:w="6213"/>
        <w:gridCol w:w="15"/>
      </w:tblGrid>
      <w:tr w:rsidR="000715C0">
        <w:trPr>
          <w:gridAfter w:val="1"/>
          <w:wAfter w:w="15" w:type="dxa"/>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产品名称</w:t>
            </w:r>
          </w:p>
        </w:tc>
        <w:tc>
          <w:tcPr>
            <w:tcW w:w="6213" w:type="dxa"/>
          </w:tcPr>
          <w:p w:rsidR="000715C0" w:rsidRDefault="00CB504C">
            <w:pPr>
              <w:spacing w:line="276" w:lineRule="auto"/>
              <w:rPr>
                <w:rFonts w:ascii="Times New Roman" w:hAnsi="Times New Roman"/>
                <w:bCs/>
                <w:szCs w:val="21"/>
              </w:rPr>
            </w:pPr>
            <w:r>
              <w:rPr>
                <w:rFonts w:ascii="Times New Roman" w:hAnsi="Times New Roman" w:hint="eastAsia"/>
                <w:bCs/>
                <w:szCs w:val="21"/>
              </w:rPr>
              <w:t>渝农商理财兴时（最短持有</w:t>
            </w:r>
            <w:r>
              <w:rPr>
                <w:rFonts w:ascii="Times New Roman" w:hAnsi="Times New Roman" w:hint="eastAsia"/>
                <w:bCs/>
                <w:szCs w:val="21"/>
              </w:rPr>
              <w:t>1</w:t>
            </w:r>
            <w:r>
              <w:rPr>
                <w:rFonts w:ascii="Times New Roman" w:hAnsi="Times New Roman" w:hint="eastAsia"/>
                <w:bCs/>
                <w:szCs w:val="21"/>
              </w:rPr>
              <w:t>个月）每日开放</w:t>
            </w:r>
            <w:r>
              <w:rPr>
                <w:rFonts w:ascii="Times New Roman" w:hAnsi="Times New Roman" w:hint="eastAsia"/>
                <w:bCs/>
                <w:szCs w:val="21"/>
              </w:rPr>
              <w:t>1</w:t>
            </w:r>
            <w:r>
              <w:rPr>
                <w:rFonts w:ascii="Times New Roman" w:hAnsi="Times New Roman" w:hint="eastAsia"/>
                <w:bCs/>
                <w:szCs w:val="21"/>
              </w:rPr>
              <w:t>号</w:t>
            </w:r>
          </w:p>
        </w:tc>
      </w:tr>
      <w:tr w:rsidR="000715C0">
        <w:trPr>
          <w:gridAfter w:val="1"/>
          <w:wAfter w:w="15" w:type="dxa"/>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产品编号</w:t>
            </w:r>
          </w:p>
        </w:tc>
        <w:tc>
          <w:tcPr>
            <w:tcW w:w="6213" w:type="dxa"/>
          </w:tcPr>
          <w:p w:rsidR="000715C0" w:rsidRDefault="00CB504C">
            <w:pPr>
              <w:spacing w:line="276" w:lineRule="auto"/>
              <w:rPr>
                <w:rFonts w:ascii="Times New Roman" w:hAnsi="Times New Roman"/>
                <w:szCs w:val="21"/>
              </w:rPr>
            </w:pPr>
            <w:r>
              <w:rPr>
                <w:rFonts w:ascii="Times New Roman" w:hAnsi="Times New Roman"/>
                <w:szCs w:val="21"/>
              </w:rPr>
              <w:t>21GSGK11201</w:t>
            </w:r>
          </w:p>
        </w:tc>
      </w:tr>
      <w:tr w:rsidR="000715C0">
        <w:trPr>
          <w:gridAfter w:val="1"/>
          <w:wAfter w:w="15" w:type="dxa"/>
          <w:trHeight w:val="305"/>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理财信息系统登记编码</w:t>
            </w:r>
          </w:p>
        </w:tc>
        <w:tc>
          <w:tcPr>
            <w:tcW w:w="6213" w:type="dxa"/>
          </w:tcPr>
          <w:p w:rsidR="000715C0" w:rsidRDefault="00CB504C">
            <w:pPr>
              <w:spacing w:line="276" w:lineRule="auto"/>
              <w:rPr>
                <w:rFonts w:ascii="Times New Roman" w:hAnsi="Times New Roman"/>
                <w:bCs/>
                <w:szCs w:val="21"/>
              </w:rPr>
            </w:pPr>
            <w:r>
              <w:rPr>
                <w:rFonts w:ascii="Times New Roman" w:hAnsi="Times New Roman"/>
                <w:bCs/>
                <w:szCs w:val="21"/>
              </w:rPr>
              <w:t>Z7002721000243</w:t>
            </w:r>
            <w:r>
              <w:rPr>
                <w:rFonts w:ascii="Times New Roman" w:hAnsi="Times New Roman" w:hint="eastAsia"/>
                <w:szCs w:val="21"/>
              </w:rPr>
              <w:t>。</w:t>
            </w:r>
            <w:r>
              <w:rPr>
                <w:rFonts w:ascii="Times New Roman" w:hAnsi="Times New Roman" w:cs="宋体" w:hint="eastAsia"/>
                <w:bCs/>
                <w:szCs w:val="21"/>
              </w:rPr>
              <w:t>投资者</w:t>
            </w:r>
            <w:r>
              <w:rPr>
                <w:rFonts w:ascii="Times New Roman" w:hAnsi="Times New Roman" w:cs="宋体" w:hint="eastAsia"/>
                <w:szCs w:val="21"/>
              </w:rPr>
              <w:t>可依据本产品理财信息系统登记编码在“中国理财网（</w:t>
            </w:r>
            <w:r>
              <w:rPr>
                <w:rFonts w:ascii="Times New Roman" w:hAnsi="Times New Roman" w:cs="宋体"/>
                <w:szCs w:val="21"/>
              </w:rPr>
              <w:t>www.chinawealth.com.cn</w:t>
            </w:r>
            <w:r>
              <w:rPr>
                <w:rFonts w:ascii="Times New Roman" w:hAnsi="Times New Roman" w:cs="宋体"/>
                <w:szCs w:val="21"/>
              </w:rPr>
              <w:t>）</w:t>
            </w:r>
            <w:r>
              <w:rPr>
                <w:rFonts w:ascii="Times New Roman" w:hAnsi="Times New Roman" w:cs="宋体"/>
                <w:szCs w:val="21"/>
              </w:rPr>
              <w:t>”</w:t>
            </w:r>
            <w:r>
              <w:rPr>
                <w:rFonts w:ascii="Times New Roman" w:hAnsi="Times New Roman" w:cs="宋体"/>
                <w:szCs w:val="21"/>
              </w:rPr>
              <w:t>上查询产品信息</w:t>
            </w:r>
            <w:r>
              <w:rPr>
                <w:rFonts w:ascii="Times New Roman" w:hAnsi="Times New Roman" w:hint="eastAsia"/>
                <w:szCs w:val="21"/>
              </w:rPr>
              <w:t>。</w:t>
            </w:r>
          </w:p>
        </w:tc>
      </w:tr>
      <w:tr w:rsidR="000715C0">
        <w:trPr>
          <w:gridAfter w:val="1"/>
          <w:wAfter w:w="15" w:type="dxa"/>
          <w:trHeight w:val="305"/>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lastRenderedPageBreak/>
              <w:t>产品风险评级</w:t>
            </w:r>
          </w:p>
        </w:tc>
        <w:tc>
          <w:tcPr>
            <w:tcW w:w="6213" w:type="dxa"/>
          </w:tcPr>
          <w:p w:rsidR="000715C0" w:rsidRDefault="00CB504C">
            <w:pPr>
              <w:spacing w:line="276" w:lineRule="auto"/>
              <w:rPr>
                <w:rFonts w:ascii="Times New Roman" w:hAnsi="Times New Roman"/>
                <w:bCs/>
                <w:szCs w:val="21"/>
              </w:rPr>
            </w:pPr>
            <w:r>
              <w:rPr>
                <w:rFonts w:ascii="Times New Roman" w:hAnsi="Times New Roman" w:hint="eastAsia"/>
                <w:b/>
                <w:bCs/>
                <w:szCs w:val="21"/>
              </w:rPr>
              <w:t>二级（</w:t>
            </w:r>
            <w:r>
              <w:rPr>
                <w:rFonts w:ascii="Times New Roman" w:hAnsi="Times New Roman"/>
                <w:b/>
                <w:bCs/>
                <w:szCs w:val="21"/>
              </w:rPr>
              <w:t>本产品的风险评级仅是</w:t>
            </w:r>
            <w:r>
              <w:rPr>
                <w:rFonts w:ascii="Times New Roman" w:hAnsi="Times New Roman" w:hint="eastAsia"/>
                <w:b/>
                <w:bCs/>
                <w:szCs w:val="21"/>
              </w:rPr>
              <w:t>渝农商理财有限责任公司</w:t>
            </w:r>
            <w:r>
              <w:rPr>
                <w:rFonts w:ascii="Times New Roman" w:hAnsi="Times New Roman"/>
                <w:b/>
                <w:bCs/>
                <w:szCs w:val="21"/>
              </w:rPr>
              <w:t>内部测评结果，仅供</w:t>
            </w:r>
            <w:r>
              <w:rPr>
                <w:rFonts w:ascii="Times New Roman" w:hAnsi="Times New Roman" w:hint="eastAsia"/>
                <w:b/>
                <w:bCs/>
                <w:szCs w:val="21"/>
              </w:rPr>
              <w:t>投资者</w:t>
            </w:r>
            <w:r>
              <w:rPr>
                <w:rFonts w:ascii="Times New Roman" w:hAnsi="Times New Roman"/>
                <w:b/>
                <w:bCs/>
                <w:szCs w:val="21"/>
              </w:rPr>
              <w:t>参考</w:t>
            </w:r>
            <w:r>
              <w:rPr>
                <w:rFonts w:ascii="Times New Roman" w:hAnsi="Times New Roman" w:hint="eastAsia"/>
                <w:b/>
                <w:bCs/>
                <w:szCs w:val="21"/>
              </w:rPr>
              <w:t>，若</w:t>
            </w:r>
            <w:r>
              <w:rPr>
                <w:rFonts w:hint="eastAsia"/>
                <w:b/>
                <w:bCs/>
              </w:rPr>
              <w:t>本产品通过代理销售机构渠道销售的，理财产品评级应当以代理销售机构最终披露的评级结果为准。</w:t>
            </w:r>
            <w:r>
              <w:rPr>
                <w:rFonts w:ascii="Times New Roman" w:hAnsi="Times New Roman" w:hint="eastAsia"/>
                <w:b/>
                <w:bCs/>
                <w:szCs w:val="21"/>
              </w:rPr>
              <w:t>）</w:t>
            </w:r>
          </w:p>
        </w:tc>
      </w:tr>
      <w:tr w:rsidR="000715C0">
        <w:trPr>
          <w:trHeight w:val="305"/>
        </w:trPr>
        <w:tc>
          <w:tcPr>
            <w:tcW w:w="1739" w:type="dxa"/>
            <w:vAlign w:val="center"/>
          </w:tcPr>
          <w:p w:rsidR="000715C0" w:rsidRDefault="00CB504C">
            <w:pPr>
              <w:spacing w:line="276" w:lineRule="auto"/>
              <w:jc w:val="center"/>
              <w:rPr>
                <w:rFonts w:ascii="Times New Roman" w:hAnsi="Times New Roman" w:cs="宋体"/>
                <w:bCs/>
                <w:szCs w:val="21"/>
              </w:rPr>
            </w:pPr>
            <w:r>
              <w:rPr>
                <w:rFonts w:ascii="Times New Roman" w:hAnsi="Times New Roman" w:hint="eastAsia"/>
                <w:bCs/>
                <w:szCs w:val="21"/>
              </w:rPr>
              <w:t>理财产品份额类别</w:t>
            </w:r>
          </w:p>
        </w:tc>
        <w:tc>
          <w:tcPr>
            <w:tcW w:w="6228" w:type="dxa"/>
            <w:gridSpan w:val="2"/>
          </w:tcPr>
          <w:p w:rsidR="000715C0" w:rsidRDefault="00CB504C">
            <w:pPr>
              <w:spacing w:line="276" w:lineRule="auto"/>
              <w:rPr>
                <w:rFonts w:ascii="Times New Roman" w:hAnsi="Times New Roman" w:cs="宋体"/>
                <w:szCs w:val="21"/>
              </w:rPr>
            </w:pPr>
            <w:r>
              <w:rPr>
                <w:rFonts w:ascii="Times New Roman" w:hAnsi="Times New Roman" w:cs="宋体" w:hint="eastAsia"/>
                <w:szCs w:val="21"/>
              </w:rPr>
              <w:t>本产品根据投资者购买理财产品的销售（代理销售）机构、适合的投资者、投资者购买理财产品的金额等因素设置不同理财产品份额类别，每类产品份额设置单独的份额名称和份额代码，并分别计算产品份额净值。投资者可根据实际情况自行选择购买的产品份额类别。本产品设置的份额类别如下：</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A</w:t>
            </w:r>
            <w:r>
              <w:rPr>
                <w:rFonts w:ascii="Times New Roman" w:hAnsi="Times New Roman" w:cs="宋体" w:hint="eastAsia"/>
                <w:szCs w:val="21"/>
              </w:rPr>
              <w:t>份额：份额代码</w:t>
            </w:r>
            <w:r>
              <w:rPr>
                <w:rFonts w:ascii="Times New Roman" w:hAnsi="Times New Roman" w:cs="宋体" w:hint="eastAsia"/>
                <w:szCs w:val="21"/>
              </w:rPr>
              <w:t>21GSGK11201</w:t>
            </w:r>
            <w:r>
              <w:rPr>
                <w:rFonts w:ascii="Times New Roman" w:hAnsi="Times New Roman" w:cs="宋体" w:hint="eastAsia"/>
                <w:szCs w:val="21"/>
              </w:rPr>
              <w:tab/>
            </w:r>
          </w:p>
          <w:p w:rsidR="000715C0" w:rsidRDefault="00CB504C">
            <w:pPr>
              <w:spacing w:line="276" w:lineRule="auto"/>
              <w:rPr>
                <w:rFonts w:ascii="Times New Roman" w:hAnsi="Times New Roman" w:cs="宋体"/>
                <w:szCs w:val="21"/>
              </w:rPr>
            </w:pPr>
            <w:r>
              <w:rPr>
                <w:rFonts w:ascii="Times New Roman" w:hAnsi="Times New Roman" w:cs="宋体" w:hint="eastAsia"/>
                <w:szCs w:val="21"/>
              </w:rPr>
              <w:t>B</w:t>
            </w:r>
            <w:r>
              <w:rPr>
                <w:rFonts w:ascii="Times New Roman" w:hAnsi="Times New Roman" w:cs="宋体" w:hint="eastAsia"/>
                <w:szCs w:val="21"/>
              </w:rPr>
              <w:t>份额：份额代码</w:t>
            </w:r>
            <w:r>
              <w:rPr>
                <w:rFonts w:ascii="Times New Roman" w:hAnsi="Times New Roman" w:cs="宋体" w:hint="eastAsia"/>
                <w:szCs w:val="21"/>
              </w:rPr>
              <w:t>21GSGK11201B</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C</w:t>
            </w:r>
            <w:r>
              <w:rPr>
                <w:rFonts w:ascii="Times New Roman" w:hAnsi="Times New Roman" w:cs="宋体" w:hint="eastAsia"/>
                <w:szCs w:val="21"/>
              </w:rPr>
              <w:t>份额：份额代码</w:t>
            </w:r>
            <w:r>
              <w:rPr>
                <w:rFonts w:ascii="Times New Roman" w:hAnsi="Times New Roman" w:cs="宋体" w:hint="eastAsia"/>
                <w:szCs w:val="21"/>
              </w:rPr>
              <w:t>21GSGK11201C</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D</w:t>
            </w:r>
            <w:r>
              <w:rPr>
                <w:rFonts w:ascii="Times New Roman" w:hAnsi="Times New Roman" w:cs="宋体" w:hint="eastAsia"/>
                <w:szCs w:val="21"/>
              </w:rPr>
              <w:t>份额：份额代码</w:t>
            </w:r>
            <w:r>
              <w:rPr>
                <w:rFonts w:ascii="Times New Roman" w:hAnsi="Times New Roman" w:cs="宋体" w:hint="eastAsia"/>
                <w:szCs w:val="21"/>
              </w:rPr>
              <w:t>21GSGK11201D</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E</w:t>
            </w:r>
            <w:r>
              <w:rPr>
                <w:rFonts w:ascii="Times New Roman" w:hAnsi="Times New Roman" w:cs="宋体" w:hint="eastAsia"/>
                <w:szCs w:val="21"/>
              </w:rPr>
              <w:t>份额：份额代码</w:t>
            </w:r>
            <w:r>
              <w:rPr>
                <w:rFonts w:ascii="Times New Roman" w:hAnsi="Times New Roman" w:cs="宋体" w:hint="eastAsia"/>
                <w:szCs w:val="21"/>
              </w:rPr>
              <w:t>21GSGK11201E</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F</w:t>
            </w:r>
            <w:r>
              <w:rPr>
                <w:rFonts w:ascii="Times New Roman" w:hAnsi="Times New Roman" w:cs="宋体" w:hint="eastAsia"/>
                <w:szCs w:val="21"/>
              </w:rPr>
              <w:t>份额：份额代码</w:t>
            </w:r>
            <w:r>
              <w:rPr>
                <w:rFonts w:ascii="Times New Roman" w:hAnsi="Times New Roman" w:cs="宋体" w:hint="eastAsia"/>
                <w:szCs w:val="21"/>
              </w:rPr>
              <w:t>21GSGK11201</w:t>
            </w:r>
            <w:r>
              <w:rPr>
                <w:rFonts w:ascii="Times New Roman" w:hAnsi="Times New Roman" w:cs="宋体" w:hint="eastAsia"/>
                <w:szCs w:val="21"/>
              </w:rPr>
              <w:t>F</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G</w:t>
            </w:r>
            <w:r>
              <w:rPr>
                <w:rFonts w:ascii="Times New Roman" w:hAnsi="Times New Roman" w:cs="宋体" w:hint="eastAsia"/>
                <w:szCs w:val="21"/>
              </w:rPr>
              <w:t>份额：</w:t>
            </w:r>
            <w:r>
              <w:rPr>
                <w:rFonts w:ascii="Times New Roman" w:hAnsi="Times New Roman" w:cs="宋体" w:hint="eastAsia"/>
                <w:szCs w:val="21"/>
              </w:rPr>
              <w:t>份额代码</w:t>
            </w:r>
            <w:r>
              <w:rPr>
                <w:rFonts w:ascii="Times New Roman" w:hAnsi="Times New Roman" w:cs="宋体" w:hint="eastAsia"/>
                <w:szCs w:val="21"/>
              </w:rPr>
              <w:t>21GSGK11201</w:t>
            </w:r>
            <w:r>
              <w:rPr>
                <w:rFonts w:ascii="Times New Roman" w:hAnsi="Times New Roman" w:cs="宋体" w:hint="eastAsia"/>
                <w:szCs w:val="21"/>
              </w:rPr>
              <w:t>G</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H</w:t>
            </w:r>
            <w:r>
              <w:rPr>
                <w:rFonts w:ascii="Times New Roman" w:hAnsi="Times New Roman" w:cs="宋体" w:hint="eastAsia"/>
                <w:szCs w:val="21"/>
              </w:rPr>
              <w:t>份额：份额代码</w:t>
            </w:r>
            <w:r>
              <w:rPr>
                <w:rFonts w:ascii="Times New Roman" w:hAnsi="Times New Roman" w:cs="宋体" w:hint="eastAsia"/>
                <w:szCs w:val="21"/>
              </w:rPr>
              <w:t>21GSGK11201</w:t>
            </w:r>
            <w:r>
              <w:rPr>
                <w:rFonts w:ascii="Times New Roman" w:hAnsi="Times New Roman" w:cs="宋体"/>
                <w:szCs w:val="21"/>
              </w:rPr>
              <w:t>H</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I</w:t>
            </w:r>
            <w:r>
              <w:rPr>
                <w:rFonts w:ascii="Times New Roman" w:hAnsi="Times New Roman" w:cs="宋体" w:hint="eastAsia"/>
                <w:szCs w:val="21"/>
              </w:rPr>
              <w:t>份额：份额代码</w:t>
            </w:r>
            <w:r>
              <w:rPr>
                <w:rFonts w:ascii="Times New Roman" w:hAnsi="Times New Roman" w:cs="宋体" w:hint="eastAsia"/>
                <w:szCs w:val="21"/>
              </w:rPr>
              <w:t>21GSGK11201</w:t>
            </w:r>
            <w:r>
              <w:rPr>
                <w:rFonts w:ascii="Times New Roman" w:hAnsi="Times New Roman" w:cs="宋体" w:hint="eastAsia"/>
                <w:szCs w:val="21"/>
              </w:rPr>
              <w:t>I</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产品管理人有权根据相关法律和国家政策规定，在本理财产品项下增设新的产品份额类别，或对本产品各份额类别的销售渠道、销售对象等进行调整，届时，产品管理人将依据本理财产品说明书约定进行公告。若投资者有权不接受变更，可通过赎回退出本产品。</w:t>
            </w:r>
            <w:r>
              <w:rPr>
                <w:rFonts w:ascii="Times New Roman" w:hAnsi="Times New Roman" w:cs="宋体" w:hint="eastAsia"/>
                <w:b/>
                <w:bCs/>
                <w:szCs w:val="21"/>
              </w:rPr>
              <w:t>投资者未在变更生效前提出赎回申请的，视为同意接受变更后条款</w:t>
            </w:r>
            <w:r>
              <w:rPr>
                <w:rFonts w:ascii="Times New Roman" w:hAnsi="Times New Roman" w:cs="宋体" w:hint="eastAsia"/>
                <w:szCs w:val="21"/>
              </w:rPr>
              <w:t>，产品管理人有权按照变更后的约定内容进行操作。</w:t>
            </w:r>
          </w:p>
        </w:tc>
      </w:tr>
      <w:tr w:rsidR="000715C0">
        <w:trPr>
          <w:gridAfter w:val="1"/>
          <w:wAfter w:w="15" w:type="dxa"/>
          <w:trHeight w:val="305"/>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cs="宋体" w:hint="eastAsia"/>
                <w:bCs/>
                <w:szCs w:val="21"/>
              </w:rPr>
              <w:t>销售对象</w:t>
            </w:r>
          </w:p>
        </w:tc>
        <w:tc>
          <w:tcPr>
            <w:tcW w:w="6213" w:type="dxa"/>
          </w:tcPr>
          <w:p w:rsidR="000715C0" w:rsidRDefault="00CB504C">
            <w:pPr>
              <w:spacing w:line="276" w:lineRule="auto"/>
              <w:rPr>
                <w:rFonts w:ascii="Times New Roman" w:hAnsi="Times New Roman"/>
                <w:bCs/>
                <w:szCs w:val="21"/>
              </w:rPr>
            </w:pPr>
            <w:r>
              <w:rPr>
                <w:rFonts w:ascii="Times New Roman" w:hAnsi="Times New Roman" w:cs="宋体" w:hint="eastAsia"/>
                <w:szCs w:val="21"/>
              </w:rPr>
              <w:t>不特定社会公众</w:t>
            </w:r>
          </w:p>
        </w:tc>
      </w:tr>
      <w:tr w:rsidR="000715C0">
        <w:trPr>
          <w:gridAfter w:val="1"/>
          <w:wAfter w:w="15" w:type="dxa"/>
          <w:trHeight w:val="305"/>
        </w:trPr>
        <w:tc>
          <w:tcPr>
            <w:tcW w:w="1739" w:type="dxa"/>
            <w:vAlign w:val="center"/>
          </w:tcPr>
          <w:p w:rsidR="000715C0" w:rsidRDefault="00CB504C">
            <w:pPr>
              <w:spacing w:line="276" w:lineRule="auto"/>
              <w:jc w:val="center"/>
              <w:rPr>
                <w:rFonts w:ascii="Times New Roman" w:hAnsi="Times New Roman" w:cs="宋体"/>
                <w:bCs/>
                <w:szCs w:val="21"/>
              </w:rPr>
            </w:pPr>
            <w:r>
              <w:rPr>
                <w:rFonts w:ascii="Times New Roman" w:hAnsi="Times New Roman" w:cs="宋体" w:hint="eastAsia"/>
                <w:bCs/>
                <w:szCs w:val="21"/>
              </w:rPr>
              <w:t>适合投资者类型</w:t>
            </w:r>
          </w:p>
        </w:tc>
        <w:tc>
          <w:tcPr>
            <w:tcW w:w="6213" w:type="dxa"/>
          </w:tcPr>
          <w:p w:rsidR="000715C0" w:rsidRDefault="00CB504C">
            <w:pPr>
              <w:spacing w:line="276" w:lineRule="auto"/>
              <w:rPr>
                <w:rFonts w:ascii="Times New Roman" w:hAnsi="Times New Roman" w:cs="宋体"/>
                <w:szCs w:val="21"/>
              </w:rPr>
            </w:pPr>
            <w:r>
              <w:rPr>
                <w:rFonts w:ascii="Times New Roman" w:hAnsi="Times New Roman" w:cs="宋体" w:hint="eastAsia"/>
                <w:szCs w:val="21"/>
              </w:rPr>
              <w:t>本产品适合稳健型、平衡型、积极型、激进型的个人投资者，机构投资者。</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其中：</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A</w:t>
            </w:r>
            <w:r>
              <w:rPr>
                <w:rFonts w:ascii="Times New Roman" w:hAnsi="Times New Roman" w:cs="宋体" w:hint="eastAsia"/>
                <w:szCs w:val="21"/>
              </w:rPr>
              <w:t>份额适合稳健型、平衡型、积极型、激进型的个人投资者，机构投资者；</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B</w:t>
            </w:r>
            <w:r>
              <w:rPr>
                <w:rFonts w:ascii="Times New Roman" w:hAnsi="Times New Roman" w:cs="宋体" w:hint="eastAsia"/>
                <w:szCs w:val="21"/>
              </w:rPr>
              <w:t>份额适合稳健型、平衡型、积极型、激进型的个人投资者，机构投资者；</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C</w:t>
            </w:r>
            <w:r>
              <w:rPr>
                <w:rFonts w:ascii="Times New Roman" w:hAnsi="Times New Roman" w:cs="宋体" w:hint="eastAsia"/>
                <w:szCs w:val="21"/>
              </w:rPr>
              <w:t>份额适合稳健型、平衡型、积极型、激进型的个人投资者，机构投资者；</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D</w:t>
            </w:r>
            <w:r>
              <w:rPr>
                <w:rFonts w:ascii="Times New Roman" w:hAnsi="Times New Roman" w:cs="宋体" w:hint="eastAsia"/>
                <w:szCs w:val="21"/>
              </w:rPr>
              <w:t>份额适合稳健型、平衡型、积极型、激进型的个人投资者，机构投资者；</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E</w:t>
            </w:r>
            <w:r>
              <w:rPr>
                <w:rFonts w:ascii="Times New Roman" w:hAnsi="Times New Roman" w:cs="宋体" w:hint="eastAsia"/>
                <w:szCs w:val="21"/>
              </w:rPr>
              <w:t>份额适合稳健型、平衡型、积极型、激进型的个人投资者，机构投资者；</w:t>
            </w:r>
          </w:p>
          <w:p w:rsidR="000715C0" w:rsidRDefault="00CB504C">
            <w:pPr>
              <w:spacing w:line="276" w:lineRule="auto"/>
              <w:rPr>
                <w:rFonts w:ascii="Times New Roman" w:hAnsi="Times New Roman" w:cs="宋体"/>
                <w:szCs w:val="21"/>
              </w:rPr>
            </w:pPr>
            <w:r>
              <w:rPr>
                <w:rFonts w:ascii="Times New Roman" w:hAnsi="Times New Roman" w:cs="宋体" w:hint="eastAsia"/>
                <w:szCs w:val="21"/>
              </w:rPr>
              <w:lastRenderedPageBreak/>
              <w:t>F</w:t>
            </w:r>
            <w:r>
              <w:rPr>
                <w:rFonts w:ascii="Times New Roman" w:hAnsi="Times New Roman" w:cs="宋体" w:hint="eastAsia"/>
                <w:szCs w:val="21"/>
              </w:rPr>
              <w:t>份额适合稳健型、平衡型、积极型、激进型的个人投资者，机构投资者；</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G</w:t>
            </w:r>
            <w:r>
              <w:rPr>
                <w:rFonts w:ascii="Times New Roman" w:hAnsi="Times New Roman" w:cs="宋体" w:hint="eastAsia"/>
                <w:szCs w:val="21"/>
              </w:rPr>
              <w:t>份额适合稳健型、平衡型、积极型、激进型的个人投资者，机构投资者</w:t>
            </w:r>
            <w:r>
              <w:rPr>
                <w:rFonts w:ascii="Times New Roman" w:hAnsi="Times New Roman" w:cs="宋体" w:hint="eastAsia"/>
                <w:szCs w:val="21"/>
              </w:rPr>
              <w:t>；</w:t>
            </w:r>
          </w:p>
          <w:p w:rsidR="000715C0" w:rsidRDefault="00CB504C">
            <w:pPr>
              <w:spacing w:line="276" w:lineRule="auto"/>
              <w:rPr>
                <w:rFonts w:ascii="Times New Roman" w:hAnsi="Times New Roman" w:cs="宋体"/>
                <w:szCs w:val="21"/>
              </w:rPr>
            </w:pPr>
            <w:r>
              <w:rPr>
                <w:rFonts w:ascii="Times New Roman" w:hAnsi="Times New Roman" w:cs="宋体"/>
                <w:szCs w:val="21"/>
              </w:rPr>
              <w:t>H</w:t>
            </w:r>
            <w:r>
              <w:rPr>
                <w:rFonts w:ascii="Times New Roman" w:hAnsi="Times New Roman" w:cs="宋体" w:hint="eastAsia"/>
                <w:szCs w:val="21"/>
              </w:rPr>
              <w:t>份额适合稳健型、平衡型、积极型、激进型的个人投资者，机构投资者</w:t>
            </w:r>
            <w:r>
              <w:rPr>
                <w:rFonts w:ascii="Times New Roman" w:hAnsi="Times New Roman" w:cs="宋体" w:hint="eastAsia"/>
                <w:szCs w:val="21"/>
              </w:rPr>
              <w:t>；</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I</w:t>
            </w:r>
            <w:r>
              <w:rPr>
                <w:rFonts w:ascii="Times New Roman" w:hAnsi="Times New Roman" w:cs="宋体" w:hint="eastAsia"/>
                <w:szCs w:val="21"/>
              </w:rPr>
              <w:t>份额适合稳健型、平衡型、积极型、激进型的个人投资者，机构投资者。</w:t>
            </w:r>
          </w:p>
          <w:p w:rsidR="000715C0" w:rsidRDefault="00CB504C">
            <w:pPr>
              <w:spacing w:line="276" w:lineRule="auto"/>
              <w:rPr>
                <w:rFonts w:ascii="Times New Roman" w:hAnsi="Times New Roman" w:cs="宋体"/>
                <w:szCs w:val="21"/>
              </w:rPr>
            </w:pPr>
            <w:r>
              <w:rPr>
                <w:rFonts w:ascii="Times New Roman" w:hAnsi="Times New Roman" w:cs="宋体" w:hint="eastAsia"/>
                <w:szCs w:val="21"/>
              </w:rPr>
              <w:t>本“适合投资者类型”的划分与表述为产品管理人内部设置的标准，仅供参考。若本产品通过代理销售机构渠道销售的，代理销售机构对“适合投资者类型”的划分标准与表述可能与产品管理人存在差异。</w:t>
            </w:r>
          </w:p>
        </w:tc>
      </w:tr>
      <w:tr w:rsidR="000715C0">
        <w:trPr>
          <w:gridAfter w:val="1"/>
          <w:wAfter w:w="15" w:type="dxa"/>
          <w:trHeight w:val="305"/>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cs="宋体" w:hint="eastAsia"/>
                <w:bCs/>
                <w:szCs w:val="21"/>
              </w:rPr>
              <w:lastRenderedPageBreak/>
              <w:t>销售范围</w:t>
            </w:r>
          </w:p>
        </w:tc>
        <w:tc>
          <w:tcPr>
            <w:tcW w:w="6213" w:type="dxa"/>
          </w:tcPr>
          <w:p w:rsidR="000715C0" w:rsidRDefault="00CB504C">
            <w:pPr>
              <w:spacing w:line="276" w:lineRule="auto"/>
              <w:rPr>
                <w:rFonts w:ascii="Times New Roman" w:hAnsi="Times New Roman"/>
                <w:bCs/>
                <w:szCs w:val="21"/>
              </w:rPr>
            </w:pPr>
            <w:r>
              <w:rPr>
                <w:rFonts w:ascii="Times New Roman" w:hAnsi="Times New Roman" w:cs="宋体" w:hint="eastAsia"/>
                <w:szCs w:val="21"/>
              </w:rPr>
              <w:t>全国</w:t>
            </w:r>
          </w:p>
        </w:tc>
      </w:tr>
      <w:tr w:rsidR="000715C0">
        <w:trPr>
          <w:gridAfter w:val="1"/>
          <w:wAfter w:w="15" w:type="dxa"/>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投资及收益币种</w:t>
            </w:r>
          </w:p>
        </w:tc>
        <w:tc>
          <w:tcPr>
            <w:tcW w:w="6213" w:type="dxa"/>
          </w:tcPr>
          <w:p w:rsidR="000715C0" w:rsidRDefault="00CB504C">
            <w:pPr>
              <w:spacing w:line="276" w:lineRule="auto"/>
              <w:rPr>
                <w:rFonts w:ascii="Times New Roman" w:hAnsi="Times New Roman"/>
                <w:bCs/>
                <w:szCs w:val="21"/>
              </w:rPr>
            </w:pPr>
            <w:r>
              <w:rPr>
                <w:rFonts w:ascii="Times New Roman" w:hAnsi="Times New Roman" w:hint="eastAsia"/>
                <w:bCs/>
                <w:szCs w:val="21"/>
              </w:rPr>
              <w:t>人民币</w:t>
            </w:r>
          </w:p>
        </w:tc>
      </w:tr>
      <w:tr w:rsidR="000715C0">
        <w:trPr>
          <w:gridAfter w:val="1"/>
          <w:wAfter w:w="15" w:type="dxa"/>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产品类型</w:t>
            </w:r>
          </w:p>
        </w:tc>
        <w:tc>
          <w:tcPr>
            <w:tcW w:w="6213" w:type="dxa"/>
          </w:tcPr>
          <w:p w:rsidR="000715C0" w:rsidRDefault="00CB504C">
            <w:pPr>
              <w:spacing w:line="276" w:lineRule="auto"/>
              <w:rPr>
                <w:rFonts w:ascii="Times New Roman" w:hAnsi="Times New Roman"/>
                <w:b/>
                <w:bCs/>
                <w:szCs w:val="21"/>
              </w:rPr>
            </w:pPr>
            <w:r>
              <w:rPr>
                <w:rFonts w:ascii="Times New Roman" w:hAnsi="Times New Roman" w:hint="eastAsia"/>
                <w:b/>
                <w:bCs/>
                <w:szCs w:val="21"/>
              </w:rPr>
              <w:t>公募、固定收益类、非保本浮动收益型</w:t>
            </w:r>
          </w:p>
        </w:tc>
      </w:tr>
      <w:tr w:rsidR="000715C0">
        <w:trPr>
          <w:gridAfter w:val="1"/>
          <w:wAfter w:w="15" w:type="dxa"/>
        </w:trPr>
        <w:tc>
          <w:tcPr>
            <w:tcW w:w="1739" w:type="dxa"/>
          </w:tcPr>
          <w:p w:rsidR="000715C0" w:rsidRDefault="00CB504C">
            <w:pPr>
              <w:spacing w:line="276" w:lineRule="auto"/>
              <w:jc w:val="center"/>
              <w:rPr>
                <w:rFonts w:ascii="Times New Roman" w:hAnsi="Times New Roman"/>
                <w:bCs/>
                <w:szCs w:val="21"/>
              </w:rPr>
            </w:pPr>
            <w:r>
              <w:rPr>
                <w:rFonts w:ascii="Times New Roman" w:hAnsi="Times New Roman" w:hint="eastAsia"/>
                <w:szCs w:val="21"/>
              </w:rPr>
              <w:t>产品运作方式</w:t>
            </w:r>
          </w:p>
        </w:tc>
        <w:tc>
          <w:tcPr>
            <w:tcW w:w="6213" w:type="dxa"/>
          </w:tcPr>
          <w:p w:rsidR="000715C0" w:rsidRDefault="00CB504C">
            <w:pPr>
              <w:spacing w:line="276" w:lineRule="auto"/>
              <w:rPr>
                <w:rFonts w:ascii="Times New Roman" w:hAnsi="Times New Roman"/>
                <w:b/>
                <w:bCs/>
                <w:szCs w:val="21"/>
              </w:rPr>
            </w:pPr>
            <w:r>
              <w:rPr>
                <w:rFonts w:ascii="Times New Roman" w:hAnsi="Times New Roman" w:hint="eastAsia"/>
                <w:szCs w:val="21"/>
              </w:rPr>
              <w:t>开放式</w:t>
            </w:r>
          </w:p>
        </w:tc>
      </w:tr>
      <w:tr w:rsidR="000715C0">
        <w:trPr>
          <w:gridAfter w:val="1"/>
          <w:wAfter w:w="15" w:type="dxa"/>
          <w:trHeight w:val="729"/>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产品期限</w:t>
            </w:r>
          </w:p>
        </w:tc>
        <w:tc>
          <w:tcPr>
            <w:tcW w:w="6213" w:type="dxa"/>
          </w:tcPr>
          <w:p w:rsidR="000715C0" w:rsidRDefault="00CB504C">
            <w:pPr>
              <w:spacing w:line="276" w:lineRule="auto"/>
              <w:rPr>
                <w:rFonts w:ascii="Times New Roman" w:hAnsi="Times New Roman"/>
                <w:bCs/>
                <w:szCs w:val="21"/>
              </w:rPr>
            </w:pPr>
            <w:r>
              <w:rPr>
                <w:rFonts w:ascii="Times New Roman" w:hAnsi="Times New Roman" w:hint="eastAsia"/>
                <w:bCs/>
                <w:szCs w:val="21"/>
              </w:rPr>
              <w:t>无固定期限</w:t>
            </w:r>
          </w:p>
        </w:tc>
      </w:tr>
      <w:tr w:rsidR="000715C0">
        <w:trPr>
          <w:gridAfter w:val="1"/>
          <w:wAfter w:w="15" w:type="dxa"/>
          <w:trHeight w:val="729"/>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最短持有期限</w:t>
            </w:r>
          </w:p>
        </w:tc>
        <w:tc>
          <w:tcPr>
            <w:tcW w:w="6213" w:type="dxa"/>
          </w:tcPr>
          <w:p w:rsidR="000715C0" w:rsidRDefault="00CB504C">
            <w:pPr>
              <w:spacing w:line="276" w:lineRule="auto"/>
              <w:rPr>
                <w:rFonts w:ascii="Times New Roman" w:hAnsi="Times New Roman"/>
                <w:bCs/>
                <w:szCs w:val="21"/>
              </w:rPr>
            </w:pPr>
            <w:r>
              <w:rPr>
                <w:rFonts w:ascii="Times New Roman" w:hAnsi="Times New Roman" w:hint="eastAsia"/>
                <w:bCs/>
                <w:szCs w:val="21"/>
              </w:rPr>
              <w:t>该份额的最短持有期限为</w:t>
            </w:r>
            <w:r>
              <w:rPr>
                <w:rFonts w:ascii="Times New Roman" w:hAnsi="Times New Roman" w:hint="eastAsia"/>
                <w:bCs/>
                <w:szCs w:val="21"/>
              </w:rPr>
              <w:t>3</w:t>
            </w:r>
            <w:r>
              <w:rPr>
                <w:rFonts w:ascii="Times New Roman" w:hAnsi="Times New Roman"/>
                <w:bCs/>
                <w:szCs w:val="21"/>
              </w:rPr>
              <w:t>0</w:t>
            </w:r>
            <w:r>
              <w:rPr>
                <w:rFonts w:ascii="Times New Roman" w:hAnsi="Times New Roman" w:hint="eastAsia"/>
                <w:bCs/>
                <w:szCs w:val="21"/>
              </w:rPr>
              <w:t>个自然日，自投资者认购</w:t>
            </w:r>
            <w:r>
              <w:rPr>
                <w:rFonts w:ascii="Times New Roman" w:hAnsi="Times New Roman" w:hint="eastAsia"/>
                <w:bCs/>
                <w:szCs w:val="21"/>
              </w:rPr>
              <w:t>/</w:t>
            </w:r>
            <w:r>
              <w:rPr>
                <w:rFonts w:ascii="Times New Roman" w:hAnsi="Times New Roman" w:hint="eastAsia"/>
                <w:bCs/>
                <w:szCs w:val="21"/>
              </w:rPr>
              <w:t>申购确认日起第</w:t>
            </w:r>
            <w:r>
              <w:rPr>
                <w:rFonts w:ascii="Times New Roman" w:hAnsi="Times New Roman" w:hint="eastAsia"/>
                <w:bCs/>
                <w:szCs w:val="21"/>
              </w:rPr>
              <w:t>3</w:t>
            </w:r>
            <w:r>
              <w:rPr>
                <w:rFonts w:ascii="Times New Roman" w:hAnsi="Times New Roman"/>
                <w:bCs/>
                <w:szCs w:val="21"/>
              </w:rPr>
              <w:t>0</w:t>
            </w:r>
            <w:r>
              <w:rPr>
                <w:rFonts w:ascii="Times New Roman" w:hAnsi="Times New Roman" w:hint="eastAsia"/>
                <w:bCs/>
                <w:szCs w:val="21"/>
              </w:rPr>
              <w:t>个自然日起（含当日），投资者可于开放日申请赎回。</w:t>
            </w:r>
          </w:p>
        </w:tc>
      </w:tr>
      <w:tr w:rsidR="000715C0">
        <w:trPr>
          <w:gridAfter w:val="1"/>
          <w:wAfter w:w="15" w:type="dxa"/>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产品规模</w:t>
            </w:r>
          </w:p>
        </w:tc>
        <w:tc>
          <w:tcPr>
            <w:tcW w:w="6213" w:type="dxa"/>
            <w:vAlign w:val="center"/>
          </w:tcPr>
          <w:p w:rsidR="000715C0" w:rsidRDefault="00CB504C">
            <w:pPr>
              <w:spacing w:line="276" w:lineRule="auto"/>
              <w:jc w:val="left"/>
              <w:rPr>
                <w:rFonts w:ascii="Times New Roman" w:hAnsi="Times New Roman"/>
                <w:bCs/>
                <w:szCs w:val="21"/>
              </w:rPr>
            </w:pPr>
            <w:r>
              <w:rPr>
                <w:rFonts w:ascii="Times New Roman" w:hAnsi="Times New Roman" w:hint="eastAsia"/>
                <w:bCs/>
                <w:szCs w:val="21"/>
              </w:rPr>
              <w:t>产品规模上限为</w:t>
            </w:r>
            <w:r>
              <w:rPr>
                <w:rFonts w:ascii="Times New Roman" w:hAnsi="Times New Roman" w:hint="eastAsia"/>
                <w:bCs/>
                <w:szCs w:val="21"/>
              </w:rPr>
              <w:t>2</w:t>
            </w:r>
            <w:r>
              <w:rPr>
                <w:rFonts w:ascii="Times New Roman" w:hAnsi="Times New Roman"/>
                <w:bCs/>
                <w:szCs w:val="21"/>
              </w:rPr>
              <w:t>00</w:t>
            </w:r>
            <w:r>
              <w:rPr>
                <w:rFonts w:ascii="Times New Roman" w:hAnsi="Times New Roman"/>
                <w:bCs/>
                <w:szCs w:val="21"/>
              </w:rPr>
              <w:t>亿</w:t>
            </w:r>
            <w:r>
              <w:rPr>
                <w:rFonts w:ascii="Times New Roman" w:hAnsi="Times New Roman" w:hint="eastAsia"/>
                <w:bCs/>
                <w:szCs w:val="21"/>
              </w:rPr>
              <w:t>元，产品规模下限为</w:t>
            </w:r>
            <w:r>
              <w:rPr>
                <w:rFonts w:ascii="Times New Roman" w:hAnsi="Times New Roman" w:hint="eastAsia"/>
                <w:bCs/>
                <w:szCs w:val="21"/>
              </w:rPr>
              <w:t>5</w:t>
            </w:r>
            <w:r>
              <w:rPr>
                <w:rFonts w:ascii="Times New Roman" w:hAnsi="Times New Roman"/>
                <w:bCs/>
                <w:szCs w:val="21"/>
              </w:rPr>
              <w:t>00</w:t>
            </w:r>
            <w:r>
              <w:rPr>
                <w:rFonts w:ascii="Times New Roman" w:hAnsi="Times New Roman"/>
                <w:bCs/>
                <w:szCs w:val="21"/>
              </w:rPr>
              <w:t>万</w:t>
            </w:r>
            <w:r>
              <w:rPr>
                <w:rFonts w:ascii="Times New Roman" w:hAnsi="Times New Roman" w:hint="eastAsia"/>
                <w:bCs/>
                <w:szCs w:val="21"/>
              </w:rPr>
              <w:t>元（产品管理人有权根据产品实际运作情况调整产品规模）。</w:t>
            </w:r>
          </w:p>
        </w:tc>
      </w:tr>
      <w:tr w:rsidR="000715C0">
        <w:trPr>
          <w:gridAfter w:val="1"/>
          <w:wAfter w:w="15" w:type="dxa"/>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募集期</w:t>
            </w:r>
            <w:r>
              <w:rPr>
                <w:rFonts w:ascii="Times New Roman" w:hAnsi="Times New Roman" w:hint="eastAsia"/>
                <w:bCs/>
                <w:szCs w:val="21"/>
              </w:rPr>
              <w:t xml:space="preserve">    </w:t>
            </w:r>
          </w:p>
          <w:p w:rsidR="000715C0" w:rsidRDefault="00CB504C">
            <w:pPr>
              <w:spacing w:line="276" w:lineRule="auto"/>
              <w:jc w:val="center"/>
              <w:rPr>
                <w:rFonts w:ascii="Times New Roman" w:hAnsi="Times New Roman"/>
                <w:bCs/>
                <w:szCs w:val="21"/>
              </w:rPr>
            </w:pPr>
            <w:r>
              <w:rPr>
                <w:rFonts w:ascii="Times New Roman" w:hAnsi="Times New Roman" w:hint="eastAsia"/>
                <w:bCs/>
                <w:szCs w:val="21"/>
              </w:rPr>
              <w:t>（认购期）</w:t>
            </w:r>
          </w:p>
        </w:tc>
        <w:tc>
          <w:tcPr>
            <w:tcW w:w="6213" w:type="dxa"/>
          </w:tcPr>
          <w:p w:rsidR="000715C0" w:rsidRDefault="00CB504C">
            <w:pPr>
              <w:spacing w:line="276" w:lineRule="auto"/>
              <w:rPr>
                <w:rFonts w:ascii="Times New Roman" w:hAnsi="Times New Roman"/>
                <w:bCs/>
                <w:szCs w:val="21"/>
              </w:rPr>
            </w:pPr>
            <w:r>
              <w:rPr>
                <w:rFonts w:ascii="Times New Roman" w:hAnsi="Times New Roman" w:hint="eastAsia"/>
                <w:bCs/>
                <w:szCs w:val="21"/>
              </w:rPr>
              <w:t>2021</w:t>
            </w:r>
            <w:r>
              <w:rPr>
                <w:rFonts w:ascii="Times New Roman" w:hAnsi="Times New Roman" w:hint="eastAsia"/>
                <w:bCs/>
                <w:szCs w:val="21"/>
              </w:rPr>
              <w:t>年</w:t>
            </w:r>
            <w:r>
              <w:rPr>
                <w:rFonts w:ascii="Times New Roman" w:hAnsi="Times New Roman" w:hint="eastAsia"/>
                <w:bCs/>
                <w:szCs w:val="21"/>
              </w:rPr>
              <w:t>12</w:t>
            </w:r>
            <w:r>
              <w:rPr>
                <w:rFonts w:ascii="Times New Roman" w:hAnsi="Times New Roman" w:hint="eastAsia"/>
                <w:bCs/>
                <w:szCs w:val="21"/>
              </w:rPr>
              <w:t>月</w:t>
            </w:r>
            <w:r>
              <w:rPr>
                <w:rFonts w:ascii="Times New Roman" w:hAnsi="Times New Roman" w:hint="eastAsia"/>
                <w:bCs/>
                <w:szCs w:val="21"/>
              </w:rPr>
              <w:t>22</w:t>
            </w:r>
            <w:r>
              <w:rPr>
                <w:rFonts w:ascii="Times New Roman" w:hAnsi="Times New Roman" w:hint="eastAsia"/>
                <w:bCs/>
                <w:szCs w:val="21"/>
              </w:rPr>
              <w:t>日至</w:t>
            </w:r>
            <w:r>
              <w:rPr>
                <w:rFonts w:ascii="Times New Roman" w:hAnsi="Times New Roman" w:hint="eastAsia"/>
                <w:bCs/>
                <w:szCs w:val="21"/>
              </w:rPr>
              <w:t>2021</w:t>
            </w:r>
            <w:r>
              <w:rPr>
                <w:rFonts w:ascii="Times New Roman" w:hAnsi="Times New Roman" w:hint="eastAsia"/>
                <w:bCs/>
                <w:szCs w:val="21"/>
              </w:rPr>
              <w:t>年</w:t>
            </w:r>
            <w:r>
              <w:rPr>
                <w:rFonts w:ascii="Times New Roman" w:hAnsi="Times New Roman" w:hint="eastAsia"/>
                <w:bCs/>
                <w:szCs w:val="21"/>
              </w:rPr>
              <w:t>12</w:t>
            </w:r>
            <w:r>
              <w:rPr>
                <w:rFonts w:ascii="Times New Roman" w:hAnsi="Times New Roman" w:hint="eastAsia"/>
                <w:bCs/>
                <w:szCs w:val="21"/>
              </w:rPr>
              <w:t>月</w:t>
            </w:r>
            <w:r>
              <w:rPr>
                <w:rFonts w:ascii="Times New Roman" w:hAnsi="Times New Roman" w:hint="eastAsia"/>
                <w:bCs/>
                <w:szCs w:val="21"/>
              </w:rPr>
              <w:t>28</w:t>
            </w:r>
            <w:r>
              <w:rPr>
                <w:rFonts w:ascii="Times New Roman" w:hAnsi="Times New Roman" w:hint="eastAsia"/>
                <w:bCs/>
                <w:szCs w:val="21"/>
              </w:rPr>
              <w:t>日</w:t>
            </w:r>
          </w:p>
          <w:p w:rsidR="000715C0" w:rsidRDefault="00CB504C">
            <w:pPr>
              <w:spacing w:line="276" w:lineRule="auto"/>
              <w:rPr>
                <w:rFonts w:ascii="Times New Roman" w:hAnsi="Times New Roman"/>
                <w:bCs/>
                <w:szCs w:val="21"/>
              </w:rPr>
            </w:pPr>
            <w:r>
              <w:rPr>
                <w:rFonts w:ascii="Times New Roman" w:hAnsi="Times New Roman" w:hint="eastAsia"/>
                <w:bCs/>
                <w:szCs w:val="21"/>
              </w:rPr>
              <w:t>若本产品通过代理销售机构销售，代理销售机构实际受理时间可能与理财产品说明书不一致，具体以代理销售机构通知为准。（产品管理人有权根据市场变化情况缩短或延长募集期，并进行信息披露）。</w:t>
            </w:r>
          </w:p>
        </w:tc>
      </w:tr>
      <w:tr w:rsidR="000715C0">
        <w:trPr>
          <w:gridAfter w:val="1"/>
          <w:wAfter w:w="15" w:type="dxa"/>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产品成立日</w:t>
            </w:r>
          </w:p>
          <w:p w:rsidR="000715C0" w:rsidRDefault="00CB504C">
            <w:pPr>
              <w:spacing w:line="276" w:lineRule="auto"/>
              <w:jc w:val="center"/>
              <w:rPr>
                <w:rFonts w:ascii="Times New Roman" w:hAnsi="Times New Roman"/>
                <w:bCs/>
                <w:szCs w:val="21"/>
              </w:rPr>
            </w:pPr>
            <w:r>
              <w:rPr>
                <w:rFonts w:ascii="Times New Roman" w:hAnsi="Times New Roman" w:hint="eastAsia"/>
                <w:bCs/>
                <w:szCs w:val="21"/>
              </w:rPr>
              <w:t>（认购确认日）</w:t>
            </w:r>
          </w:p>
        </w:tc>
        <w:tc>
          <w:tcPr>
            <w:tcW w:w="6213" w:type="dxa"/>
          </w:tcPr>
          <w:p w:rsidR="000715C0" w:rsidRDefault="00CB504C">
            <w:pPr>
              <w:spacing w:line="276" w:lineRule="auto"/>
              <w:rPr>
                <w:rFonts w:ascii="Times New Roman" w:hAnsi="Times New Roman"/>
                <w:bCs/>
                <w:szCs w:val="21"/>
              </w:rPr>
            </w:pPr>
            <w:r>
              <w:rPr>
                <w:rFonts w:ascii="Times New Roman" w:hAnsi="Times New Roman" w:hint="eastAsia"/>
                <w:bCs/>
                <w:szCs w:val="21"/>
              </w:rPr>
              <w:t>2021</w:t>
            </w:r>
            <w:r>
              <w:rPr>
                <w:rFonts w:ascii="Times New Roman" w:hAnsi="Times New Roman" w:hint="eastAsia"/>
                <w:bCs/>
                <w:szCs w:val="21"/>
              </w:rPr>
              <w:t>年</w:t>
            </w:r>
            <w:r>
              <w:rPr>
                <w:rFonts w:ascii="Times New Roman" w:hAnsi="Times New Roman" w:hint="eastAsia"/>
                <w:bCs/>
                <w:szCs w:val="21"/>
              </w:rPr>
              <w:t>12</w:t>
            </w:r>
            <w:r>
              <w:rPr>
                <w:rFonts w:ascii="Times New Roman" w:hAnsi="Times New Roman" w:hint="eastAsia"/>
                <w:bCs/>
                <w:szCs w:val="21"/>
              </w:rPr>
              <w:t>月</w:t>
            </w:r>
            <w:r>
              <w:rPr>
                <w:rFonts w:ascii="Times New Roman" w:hAnsi="Times New Roman" w:hint="eastAsia"/>
                <w:bCs/>
                <w:szCs w:val="21"/>
              </w:rPr>
              <w:t>29</w:t>
            </w:r>
            <w:r>
              <w:rPr>
                <w:rFonts w:ascii="Times New Roman" w:hAnsi="Times New Roman" w:hint="eastAsia"/>
                <w:bCs/>
                <w:szCs w:val="21"/>
              </w:rPr>
              <w:t>日（如遇非交易日顺延至下一个交易日）。</w:t>
            </w:r>
          </w:p>
          <w:p w:rsidR="000715C0" w:rsidRDefault="00CB504C">
            <w:pPr>
              <w:spacing w:line="276" w:lineRule="auto"/>
              <w:rPr>
                <w:rFonts w:ascii="Times New Roman" w:hAnsi="Times New Roman"/>
                <w:bCs/>
                <w:szCs w:val="21"/>
              </w:rPr>
            </w:pPr>
            <w:r>
              <w:rPr>
                <w:rFonts w:ascii="Times New Roman" w:hAnsi="Times New Roman" w:hint="eastAsia"/>
                <w:bCs/>
                <w:szCs w:val="21"/>
              </w:rPr>
              <w:t>若产品募集期缩短或延长，产品成立日以公告为准。</w:t>
            </w:r>
          </w:p>
          <w:p w:rsidR="000715C0" w:rsidRDefault="00CB504C">
            <w:pPr>
              <w:spacing w:line="276" w:lineRule="auto"/>
              <w:rPr>
                <w:rFonts w:ascii="Times New Roman" w:hAnsi="Times New Roman"/>
                <w:bCs/>
                <w:szCs w:val="21"/>
              </w:rPr>
            </w:pPr>
            <w:r>
              <w:rPr>
                <w:rFonts w:ascii="Times New Roman" w:hAnsi="Times New Roman" w:hint="eastAsia"/>
                <w:bCs/>
                <w:szCs w:val="21"/>
              </w:rPr>
              <w:t>若在认购期届满之日未达到产品规模下限，</w:t>
            </w:r>
            <w:r>
              <w:rPr>
                <w:rFonts w:ascii="Times New Roman" w:hAnsi="Times New Roman" w:hint="eastAsia"/>
                <w:szCs w:val="21"/>
              </w:rPr>
              <w:t>渝农商理财有限责任公司</w:t>
            </w:r>
            <w:r>
              <w:rPr>
                <w:rFonts w:ascii="Times New Roman" w:hAnsi="Times New Roman" w:hint="eastAsia"/>
                <w:bCs/>
                <w:szCs w:val="21"/>
              </w:rPr>
              <w:t>有权宣布本产品不能成立，认购资金将在认购期结束后</w:t>
            </w:r>
            <w:r>
              <w:rPr>
                <w:rFonts w:ascii="Times New Roman" w:hAnsi="Times New Roman" w:hint="eastAsia"/>
                <w:bCs/>
                <w:szCs w:val="21"/>
              </w:rPr>
              <w:t>2</w:t>
            </w:r>
            <w:r>
              <w:rPr>
                <w:rFonts w:ascii="Times New Roman" w:hAnsi="Times New Roman" w:hint="eastAsia"/>
                <w:bCs/>
                <w:szCs w:val="21"/>
              </w:rPr>
              <w:t>个交易日内返还至投资者账户，若本产品通过代理销售机构渠道销售的，具体到账时间以投资者</w:t>
            </w:r>
            <w:r>
              <w:rPr>
                <w:rFonts w:ascii="Times New Roman" w:hAnsi="Times New Roman" w:hint="eastAsia"/>
                <w:bCs/>
                <w:szCs w:val="21"/>
              </w:rPr>
              <w:t>与代理销售机构的约定为准。</w:t>
            </w:r>
          </w:p>
        </w:tc>
      </w:tr>
      <w:tr w:rsidR="000715C0">
        <w:trPr>
          <w:gridAfter w:val="1"/>
          <w:wAfter w:w="15" w:type="dxa"/>
          <w:trHeight w:val="690"/>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产品封闭期</w:t>
            </w:r>
          </w:p>
        </w:tc>
        <w:tc>
          <w:tcPr>
            <w:tcW w:w="6213" w:type="dxa"/>
          </w:tcPr>
          <w:p w:rsidR="000715C0" w:rsidRDefault="00CB504C">
            <w:pPr>
              <w:spacing w:line="276" w:lineRule="auto"/>
              <w:rPr>
                <w:rFonts w:ascii="Times New Roman" w:hAnsi="Times New Roman"/>
                <w:bCs/>
                <w:szCs w:val="21"/>
              </w:rPr>
            </w:pPr>
            <w:r>
              <w:rPr>
                <w:rFonts w:ascii="Times New Roman" w:hAnsi="Times New Roman" w:hint="eastAsia"/>
                <w:bCs/>
                <w:szCs w:val="21"/>
              </w:rPr>
              <w:t>2021</w:t>
            </w:r>
            <w:r>
              <w:rPr>
                <w:rFonts w:ascii="Times New Roman" w:hAnsi="Times New Roman" w:hint="eastAsia"/>
                <w:bCs/>
                <w:szCs w:val="21"/>
              </w:rPr>
              <w:t>年</w:t>
            </w:r>
            <w:r>
              <w:rPr>
                <w:rFonts w:ascii="Times New Roman" w:hAnsi="Times New Roman" w:hint="eastAsia"/>
                <w:bCs/>
                <w:szCs w:val="21"/>
              </w:rPr>
              <w:t>12</w:t>
            </w:r>
            <w:r>
              <w:rPr>
                <w:rFonts w:ascii="Times New Roman" w:hAnsi="Times New Roman" w:hint="eastAsia"/>
                <w:bCs/>
                <w:szCs w:val="21"/>
              </w:rPr>
              <w:t>月</w:t>
            </w:r>
            <w:r>
              <w:rPr>
                <w:rFonts w:ascii="Times New Roman" w:hAnsi="Times New Roman" w:hint="eastAsia"/>
                <w:bCs/>
                <w:szCs w:val="21"/>
              </w:rPr>
              <w:t>29</w:t>
            </w:r>
            <w:r>
              <w:rPr>
                <w:rFonts w:ascii="Times New Roman" w:hAnsi="Times New Roman" w:hint="eastAsia"/>
                <w:bCs/>
                <w:szCs w:val="21"/>
              </w:rPr>
              <w:t>日至</w:t>
            </w:r>
            <w:r>
              <w:rPr>
                <w:rFonts w:ascii="Times New Roman" w:hAnsi="Times New Roman" w:hint="eastAsia"/>
                <w:bCs/>
                <w:szCs w:val="21"/>
              </w:rPr>
              <w:t>2022</w:t>
            </w:r>
            <w:r>
              <w:rPr>
                <w:rFonts w:ascii="Times New Roman" w:hAnsi="Times New Roman" w:hint="eastAsia"/>
                <w:bCs/>
                <w:szCs w:val="21"/>
              </w:rPr>
              <w:t>年</w:t>
            </w:r>
            <w:r>
              <w:rPr>
                <w:rFonts w:ascii="Times New Roman" w:hAnsi="Times New Roman" w:hint="eastAsia"/>
                <w:bCs/>
                <w:szCs w:val="21"/>
              </w:rPr>
              <w:t>1</w:t>
            </w:r>
            <w:r>
              <w:rPr>
                <w:rFonts w:ascii="Times New Roman" w:hAnsi="Times New Roman" w:hint="eastAsia"/>
                <w:bCs/>
                <w:szCs w:val="21"/>
              </w:rPr>
              <w:t>月</w:t>
            </w:r>
            <w:r>
              <w:rPr>
                <w:rFonts w:ascii="Times New Roman" w:hAnsi="Times New Roman" w:hint="eastAsia"/>
                <w:bCs/>
                <w:szCs w:val="21"/>
              </w:rPr>
              <w:t>24</w:t>
            </w:r>
            <w:r>
              <w:rPr>
                <w:rFonts w:ascii="Times New Roman" w:hAnsi="Times New Roman" w:hint="eastAsia"/>
                <w:bCs/>
                <w:szCs w:val="21"/>
              </w:rPr>
              <w:t>日。产品封闭期间，产品进行封闭式运作，不开放申购和赎回。</w:t>
            </w:r>
          </w:p>
        </w:tc>
      </w:tr>
      <w:tr w:rsidR="000715C0">
        <w:trPr>
          <w:gridAfter w:val="1"/>
          <w:wAfter w:w="15" w:type="dxa"/>
          <w:trHeight w:val="944"/>
        </w:trPr>
        <w:tc>
          <w:tcPr>
            <w:tcW w:w="1739" w:type="dxa"/>
            <w:vAlign w:val="center"/>
          </w:tcPr>
          <w:p w:rsidR="000715C0" w:rsidRDefault="00CB504C">
            <w:pPr>
              <w:spacing w:line="276" w:lineRule="auto"/>
              <w:jc w:val="center"/>
              <w:rPr>
                <w:rFonts w:ascii="Times New Roman" w:hAnsi="Times New Roman"/>
                <w:b/>
                <w:szCs w:val="21"/>
              </w:rPr>
            </w:pPr>
            <w:r>
              <w:rPr>
                <w:rFonts w:ascii="Times New Roman" w:hAnsi="Times New Roman" w:hint="eastAsia"/>
                <w:b/>
                <w:szCs w:val="21"/>
              </w:rPr>
              <w:t>开放日</w:t>
            </w:r>
          </w:p>
        </w:tc>
        <w:tc>
          <w:tcPr>
            <w:tcW w:w="6213" w:type="dxa"/>
          </w:tcPr>
          <w:p w:rsidR="000715C0" w:rsidRDefault="00CB504C">
            <w:pPr>
              <w:spacing w:line="276" w:lineRule="auto"/>
              <w:rPr>
                <w:rFonts w:ascii="Times New Roman" w:hAnsi="Times New Roman"/>
                <w:bCs/>
                <w:szCs w:val="21"/>
              </w:rPr>
            </w:pPr>
            <w:r>
              <w:rPr>
                <w:rFonts w:ascii="Times New Roman" w:hAnsi="Times New Roman" w:hint="eastAsia"/>
                <w:b/>
                <w:szCs w:val="21"/>
              </w:rPr>
              <w:t>开放日</w:t>
            </w:r>
            <w:r>
              <w:rPr>
                <w:rFonts w:ascii="Times New Roman" w:hAnsi="Times New Roman" w:hint="eastAsia"/>
                <w:b/>
                <w:szCs w:val="21"/>
              </w:rPr>
              <w:t>为</w:t>
            </w:r>
            <w:r>
              <w:rPr>
                <w:rFonts w:ascii="Times New Roman" w:hAnsi="Times New Roman" w:hint="eastAsia"/>
                <w:b/>
                <w:szCs w:val="21"/>
              </w:rPr>
              <w:t>产品封闭期过后的每个交易日</w:t>
            </w:r>
            <w:r>
              <w:rPr>
                <w:rFonts w:ascii="Times New Roman" w:hAnsi="Times New Roman" w:hint="eastAsia"/>
                <w:bCs/>
                <w:szCs w:val="21"/>
              </w:rPr>
              <w:t>，首个开放日为</w:t>
            </w:r>
            <w:r>
              <w:rPr>
                <w:rFonts w:ascii="Times New Roman" w:hAnsi="Times New Roman" w:hint="eastAsia"/>
                <w:bCs/>
                <w:szCs w:val="21"/>
              </w:rPr>
              <w:t>2022</w:t>
            </w:r>
            <w:r>
              <w:rPr>
                <w:rFonts w:ascii="Times New Roman" w:hAnsi="Times New Roman" w:hint="eastAsia"/>
                <w:bCs/>
                <w:szCs w:val="21"/>
              </w:rPr>
              <w:t>年</w:t>
            </w:r>
            <w:r>
              <w:rPr>
                <w:rFonts w:ascii="Times New Roman" w:hAnsi="Times New Roman" w:hint="eastAsia"/>
                <w:bCs/>
                <w:szCs w:val="21"/>
              </w:rPr>
              <w:t>1</w:t>
            </w:r>
            <w:r>
              <w:rPr>
                <w:rFonts w:ascii="Times New Roman" w:hAnsi="Times New Roman" w:hint="eastAsia"/>
                <w:bCs/>
                <w:szCs w:val="21"/>
              </w:rPr>
              <w:t>月</w:t>
            </w:r>
            <w:r>
              <w:rPr>
                <w:rFonts w:ascii="Times New Roman" w:hAnsi="Times New Roman" w:hint="eastAsia"/>
                <w:bCs/>
                <w:szCs w:val="21"/>
              </w:rPr>
              <w:t>25</w:t>
            </w:r>
            <w:r>
              <w:rPr>
                <w:rFonts w:ascii="Times New Roman" w:hAnsi="Times New Roman" w:hint="eastAsia"/>
                <w:bCs/>
                <w:szCs w:val="21"/>
              </w:rPr>
              <w:t>日（如遇非交易日顺延至下一个交易日），产品管理人可在</w:t>
            </w:r>
            <w:r>
              <w:rPr>
                <w:rFonts w:ascii="Times New Roman" w:hAnsi="Times New Roman" w:hint="eastAsia"/>
                <w:bCs/>
                <w:szCs w:val="21"/>
              </w:rPr>
              <w:lastRenderedPageBreak/>
              <w:t>开放日为投资者办理申购和赎回确认</w:t>
            </w:r>
            <w:r>
              <w:rPr>
                <w:rFonts w:ascii="Times New Roman" w:hAnsi="Times New Roman"/>
                <w:bCs/>
                <w:szCs w:val="21"/>
              </w:rPr>
              <w:t>(</w:t>
            </w:r>
            <w:r>
              <w:rPr>
                <w:rFonts w:ascii="Times New Roman" w:hAnsi="Times New Roman" w:hint="eastAsia"/>
                <w:bCs/>
                <w:szCs w:val="21"/>
              </w:rPr>
              <w:t>赎回份额需满足</w:t>
            </w:r>
            <w:r>
              <w:rPr>
                <w:rFonts w:ascii="Times New Roman" w:hAnsi="Times New Roman" w:hint="eastAsia"/>
                <w:b/>
                <w:szCs w:val="21"/>
              </w:rPr>
              <w:t>最短持有期限</w:t>
            </w:r>
            <w:r>
              <w:rPr>
                <w:rFonts w:ascii="Times New Roman" w:hAnsi="Times New Roman" w:hint="eastAsia"/>
                <w:bCs/>
                <w:szCs w:val="21"/>
              </w:rPr>
              <w:t>条件）。如遇其他情况，以管理人具体公告为准。</w:t>
            </w:r>
          </w:p>
        </w:tc>
      </w:tr>
      <w:tr w:rsidR="000715C0">
        <w:trPr>
          <w:gridAfter w:val="1"/>
          <w:wAfter w:w="15" w:type="dxa"/>
          <w:trHeight w:val="944"/>
        </w:trPr>
        <w:tc>
          <w:tcPr>
            <w:tcW w:w="1739" w:type="dxa"/>
            <w:vAlign w:val="center"/>
          </w:tcPr>
          <w:p w:rsidR="000715C0" w:rsidRDefault="00CB504C">
            <w:pPr>
              <w:spacing w:line="276" w:lineRule="auto"/>
              <w:jc w:val="center"/>
              <w:rPr>
                <w:rFonts w:ascii="Times New Roman" w:hAnsi="Times New Roman"/>
                <w:b/>
                <w:bCs/>
                <w:szCs w:val="21"/>
              </w:rPr>
            </w:pPr>
            <w:r>
              <w:rPr>
                <w:rFonts w:ascii="Times New Roman" w:hAnsi="Times New Roman" w:hint="eastAsia"/>
                <w:b/>
                <w:bCs/>
                <w:szCs w:val="21"/>
              </w:rPr>
              <w:lastRenderedPageBreak/>
              <w:t>申赎确认日</w:t>
            </w:r>
          </w:p>
        </w:tc>
        <w:tc>
          <w:tcPr>
            <w:tcW w:w="6213" w:type="dxa"/>
            <w:vAlign w:val="center"/>
          </w:tcPr>
          <w:p w:rsidR="000715C0" w:rsidRDefault="00CB504C">
            <w:pPr>
              <w:spacing w:line="276" w:lineRule="auto"/>
              <w:rPr>
                <w:rFonts w:ascii="Times New Roman" w:hAnsi="Times New Roman" w:cstheme="minorBidi"/>
                <w:b/>
                <w:bCs/>
                <w:szCs w:val="21"/>
              </w:rPr>
            </w:pPr>
            <w:r>
              <w:rPr>
                <w:rFonts w:ascii="宋体" w:hAnsi="宋体" w:cstheme="minorBidi" w:hint="eastAsia"/>
                <w:b/>
                <w:bCs/>
                <w:szCs w:val="21"/>
              </w:rPr>
              <w:t>投资者可在产品封闭期结束后的</w:t>
            </w:r>
            <w:r>
              <w:rPr>
                <w:rFonts w:ascii="宋体" w:hAnsi="宋体" w:cstheme="minorBidi" w:hint="eastAsia"/>
                <w:b/>
                <w:bCs/>
                <w:szCs w:val="21"/>
              </w:rPr>
              <w:t>每个自然日</w:t>
            </w:r>
            <w:r>
              <w:rPr>
                <w:rFonts w:ascii="宋体" w:hAnsi="宋体" w:cstheme="minorBidi"/>
                <w:b/>
                <w:bCs/>
                <w:szCs w:val="21"/>
              </w:rPr>
              <w:t>0:00</w:t>
            </w:r>
            <w:r>
              <w:rPr>
                <w:rFonts w:ascii="宋体" w:hAnsi="宋体" w:cstheme="minorBidi" w:hint="eastAsia"/>
                <w:b/>
                <w:bCs/>
                <w:szCs w:val="21"/>
              </w:rPr>
              <w:t>至</w:t>
            </w:r>
            <w:r>
              <w:rPr>
                <w:rFonts w:ascii="宋体" w:hAnsi="宋体" w:cstheme="minorBidi"/>
                <w:b/>
                <w:bCs/>
                <w:szCs w:val="21"/>
              </w:rPr>
              <w:t>24:00</w:t>
            </w:r>
            <w:bookmarkStart w:id="10" w:name="_Hlk155340891"/>
            <w:r>
              <w:rPr>
                <w:rFonts w:ascii="宋体" w:hAnsi="宋体" w:cstheme="minorBidi" w:hint="eastAsia"/>
                <w:b/>
                <w:bCs/>
                <w:szCs w:val="21"/>
              </w:rPr>
              <w:t>提出申购和赎回申请</w:t>
            </w:r>
            <w:bookmarkEnd w:id="10"/>
            <w:r>
              <w:rPr>
                <w:rFonts w:ascii="Times New Roman" w:hAnsi="Times New Roman" w:hint="eastAsia"/>
                <w:bCs/>
                <w:szCs w:val="21"/>
              </w:rPr>
              <w:t>(</w:t>
            </w:r>
            <w:r>
              <w:rPr>
                <w:rFonts w:ascii="Times New Roman" w:hAnsi="Times New Roman" w:hint="eastAsia"/>
                <w:bCs/>
                <w:szCs w:val="21"/>
              </w:rPr>
              <w:t>赎回份额需满足</w:t>
            </w:r>
            <w:r>
              <w:rPr>
                <w:rFonts w:ascii="Times New Roman" w:hAnsi="Times New Roman" w:hint="eastAsia"/>
                <w:b/>
                <w:szCs w:val="21"/>
              </w:rPr>
              <w:t>最短持有期限</w:t>
            </w:r>
            <w:r>
              <w:rPr>
                <w:rFonts w:ascii="Times New Roman" w:hAnsi="Times New Roman" w:hint="eastAsia"/>
                <w:bCs/>
                <w:szCs w:val="21"/>
              </w:rPr>
              <w:t>条件</w:t>
            </w:r>
            <w:r>
              <w:rPr>
                <w:rFonts w:ascii="Times New Roman" w:hAnsi="Times New Roman" w:hint="eastAsia"/>
                <w:bCs/>
                <w:szCs w:val="21"/>
              </w:rPr>
              <w:t>)</w:t>
            </w:r>
            <w:r>
              <w:rPr>
                <w:rFonts w:ascii="宋体" w:hAnsi="宋体" w:cstheme="minorBidi" w:hint="eastAsia"/>
                <w:b/>
                <w:bCs/>
                <w:szCs w:val="21"/>
              </w:rPr>
              <w:t>（即</w:t>
            </w:r>
            <w:r>
              <w:rPr>
                <w:rFonts w:ascii="宋体" w:hAnsi="宋体" w:cstheme="minorBidi"/>
                <w:b/>
                <w:bCs/>
                <w:szCs w:val="21"/>
              </w:rPr>
              <w:t>7</w:t>
            </w:r>
            <w:r>
              <w:rPr>
                <w:rFonts w:ascii="宋体" w:hAnsi="宋体" w:cstheme="minorBidi" w:hint="eastAsia"/>
                <w:b/>
                <w:bCs/>
                <w:szCs w:val="21"/>
              </w:rPr>
              <w:t>×</w:t>
            </w:r>
            <w:r>
              <w:rPr>
                <w:rFonts w:ascii="宋体" w:hAnsi="宋体" w:cstheme="minorBidi"/>
                <w:b/>
                <w:bCs/>
                <w:szCs w:val="21"/>
              </w:rPr>
              <w:t>24</w:t>
            </w:r>
            <w:r>
              <w:rPr>
                <w:rFonts w:ascii="宋体" w:hAnsi="宋体" w:cstheme="minorBidi" w:hint="eastAsia"/>
                <w:b/>
                <w:bCs/>
                <w:szCs w:val="21"/>
              </w:rPr>
              <w:t>小时可提出申购和赎回申请）。</w:t>
            </w:r>
          </w:p>
          <w:p w:rsidR="000715C0" w:rsidRDefault="00CB504C">
            <w:pPr>
              <w:spacing w:line="276" w:lineRule="auto"/>
              <w:rPr>
                <w:rFonts w:ascii="Times New Roman" w:hAnsi="Times New Roman" w:cstheme="minorBidi"/>
                <w:b/>
                <w:bCs/>
                <w:szCs w:val="21"/>
              </w:rPr>
            </w:pPr>
            <w:r>
              <w:rPr>
                <w:rFonts w:ascii="Times New Roman" w:hAnsi="Times New Roman" w:cstheme="minorBidi" w:hint="eastAsia"/>
                <w:b/>
                <w:bCs/>
                <w:szCs w:val="21"/>
              </w:rPr>
              <w:t>开放日申购</w:t>
            </w:r>
            <w:r>
              <w:rPr>
                <w:rFonts w:ascii="Times New Roman" w:hAnsi="Times New Roman" w:cstheme="minorBidi"/>
                <w:b/>
                <w:bCs/>
                <w:szCs w:val="21"/>
              </w:rPr>
              <w:t>/</w:t>
            </w:r>
            <w:r>
              <w:rPr>
                <w:rFonts w:ascii="Times New Roman" w:hAnsi="Times New Roman" w:cstheme="minorBidi" w:hint="eastAsia"/>
                <w:b/>
                <w:bCs/>
                <w:szCs w:val="21"/>
              </w:rPr>
              <w:t>赎回：开放日（</w:t>
            </w:r>
            <w:r>
              <w:rPr>
                <w:rFonts w:ascii="Times New Roman" w:hAnsi="Times New Roman" w:cstheme="minorBidi"/>
                <w:b/>
                <w:bCs/>
                <w:szCs w:val="21"/>
              </w:rPr>
              <w:t>T</w:t>
            </w:r>
            <w:r>
              <w:rPr>
                <w:rFonts w:ascii="Times New Roman" w:hAnsi="Times New Roman" w:cstheme="minorBidi" w:hint="eastAsia"/>
                <w:b/>
                <w:bCs/>
                <w:szCs w:val="21"/>
              </w:rPr>
              <w:t>日）</w:t>
            </w:r>
            <w:r>
              <w:rPr>
                <w:rFonts w:ascii="Times New Roman" w:hAnsi="Times New Roman"/>
                <w:b/>
                <w:bCs/>
                <w:szCs w:val="21"/>
              </w:rPr>
              <w:t>00:00-15:30</w:t>
            </w:r>
            <w:r>
              <w:rPr>
                <w:rFonts w:ascii="Times New Roman" w:hAnsi="Times New Roman" w:cstheme="minorBidi" w:hint="eastAsia"/>
                <w:b/>
                <w:bCs/>
                <w:szCs w:val="21"/>
              </w:rPr>
              <w:t>提出</w:t>
            </w:r>
            <w:r>
              <w:rPr>
                <w:rFonts w:ascii="Times New Roman" w:hAnsi="Times New Roman" w:cstheme="minorBidi" w:hint="eastAsia"/>
                <w:b/>
                <w:bCs/>
                <w:szCs w:val="21"/>
              </w:rPr>
              <w:t>的</w:t>
            </w:r>
            <w:r>
              <w:rPr>
                <w:rFonts w:ascii="Times New Roman" w:hAnsi="Times New Roman" w:cstheme="minorBidi" w:hint="eastAsia"/>
                <w:b/>
                <w:bCs/>
                <w:szCs w:val="21"/>
              </w:rPr>
              <w:t>申购</w:t>
            </w:r>
            <w:r>
              <w:rPr>
                <w:rFonts w:ascii="Times New Roman" w:hAnsi="Times New Roman" w:cstheme="minorBidi"/>
                <w:b/>
                <w:bCs/>
                <w:szCs w:val="21"/>
              </w:rPr>
              <w:t>/</w:t>
            </w:r>
            <w:r>
              <w:rPr>
                <w:rFonts w:ascii="Times New Roman" w:hAnsi="Times New Roman" w:cstheme="minorBidi" w:hint="eastAsia"/>
                <w:b/>
                <w:bCs/>
                <w:szCs w:val="21"/>
              </w:rPr>
              <w:t>赎回申请，在开放日后第</w:t>
            </w:r>
            <w:r>
              <w:rPr>
                <w:rFonts w:ascii="Times New Roman" w:hAnsi="Times New Roman" w:cstheme="minorBidi"/>
                <w:b/>
                <w:bCs/>
                <w:szCs w:val="21"/>
              </w:rPr>
              <w:t>1</w:t>
            </w:r>
            <w:r>
              <w:rPr>
                <w:rFonts w:ascii="Times New Roman" w:hAnsi="Times New Roman" w:cstheme="minorBidi" w:hint="eastAsia"/>
                <w:b/>
                <w:bCs/>
                <w:szCs w:val="21"/>
              </w:rPr>
              <w:t>个交易日（</w:t>
            </w:r>
            <w:r>
              <w:rPr>
                <w:rFonts w:ascii="Times New Roman" w:hAnsi="Times New Roman" w:cstheme="minorBidi"/>
                <w:b/>
                <w:bCs/>
                <w:szCs w:val="21"/>
              </w:rPr>
              <w:t>T+1</w:t>
            </w:r>
            <w:r>
              <w:rPr>
                <w:rFonts w:ascii="Times New Roman" w:hAnsi="Times New Roman" w:cstheme="minorBidi" w:hint="eastAsia"/>
                <w:b/>
                <w:bCs/>
                <w:szCs w:val="21"/>
              </w:rPr>
              <w:t>日）进行确认。</w:t>
            </w:r>
          </w:p>
          <w:p w:rsidR="000715C0" w:rsidRDefault="00CB504C">
            <w:pPr>
              <w:spacing w:line="276" w:lineRule="auto"/>
              <w:rPr>
                <w:rFonts w:ascii="Times New Roman" w:hAnsi="Times New Roman" w:cstheme="minorBidi"/>
                <w:b/>
                <w:bCs/>
                <w:szCs w:val="21"/>
              </w:rPr>
            </w:pPr>
            <w:r>
              <w:rPr>
                <w:rFonts w:ascii="Times New Roman" w:hAnsi="Times New Roman" w:cstheme="minorBidi" w:hint="eastAsia"/>
                <w:b/>
                <w:bCs/>
                <w:szCs w:val="21"/>
              </w:rPr>
              <w:t>开放日（</w:t>
            </w:r>
            <w:r>
              <w:rPr>
                <w:rFonts w:ascii="Times New Roman" w:hAnsi="Times New Roman" w:cstheme="minorBidi"/>
                <w:b/>
                <w:bCs/>
                <w:szCs w:val="21"/>
              </w:rPr>
              <w:t>T</w:t>
            </w:r>
            <w:r>
              <w:rPr>
                <w:rFonts w:ascii="Times New Roman" w:hAnsi="Times New Roman" w:cstheme="minorBidi" w:hint="eastAsia"/>
                <w:b/>
                <w:bCs/>
                <w:szCs w:val="21"/>
              </w:rPr>
              <w:t>日）</w:t>
            </w:r>
            <w:r>
              <w:rPr>
                <w:rFonts w:ascii="Times New Roman" w:hAnsi="Times New Roman"/>
                <w:b/>
                <w:bCs/>
                <w:szCs w:val="21"/>
              </w:rPr>
              <w:t>15:30-24:00</w:t>
            </w:r>
            <w:r>
              <w:rPr>
                <w:rFonts w:ascii="Times New Roman" w:hAnsi="Times New Roman" w:cstheme="minorBidi" w:hint="eastAsia"/>
                <w:b/>
                <w:bCs/>
                <w:szCs w:val="21"/>
              </w:rPr>
              <w:t>提出</w:t>
            </w:r>
            <w:r>
              <w:rPr>
                <w:rFonts w:ascii="Times New Roman" w:hAnsi="Times New Roman" w:cstheme="minorBidi" w:hint="eastAsia"/>
                <w:b/>
                <w:bCs/>
                <w:szCs w:val="21"/>
              </w:rPr>
              <w:t>的</w:t>
            </w:r>
            <w:r>
              <w:rPr>
                <w:rFonts w:ascii="Times New Roman" w:hAnsi="Times New Roman" w:cstheme="minorBidi" w:hint="eastAsia"/>
                <w:b/>
                <w:bCs/>
                <w:szCs w:val="21"/>
              </w:rPr>
              <w:t>申购</w:t>
            </w:r>
            <w:r>
              <w:rPr>
                <w:rFonts w:ascii="Times New Roman" w:hAnsi="Times New Roman" w:cstheme="minorBidi"/>
                <w:b/>
                <w:bCs/>
                <w:szCs w:val="21"/>
              </w:rPr>
              <w:t>/</w:t>
            </w:r>
            <w:r>
              <w:rPr>
                <w:rFonts w:ascii="Times New Roman" w:hAnsi="Times New Roman" w:cstheme="minorBidi" w:hint="eastAsia"/>
                <w:b/>
                <w:bCs/>
                <w:szCs w:val="21"/>
              </w:rPr>
              <w:t>赎回申请，在开放日后第</w:t>
            </w:r>
            <w:r>
              <w:rPr>
                <w:rFonts w:ascii="Times New Roman" w:hAnsi="Times New Roman" w:cstheme="minorBidi"/>
                <w:b/>
                <w:bCs/>
                <w:szCs w:val="21"/>
              </w:rPr>
              <w:t>2</w:t>
            </w:r>
            <w:r>
              <w:rPr>
                <w:rFonts w:ascii="Times New Roman" w:hAnsi="Times New Roman" w:cstheme="minorBidi" w:hint="eastAsia"/>
                <w:b/>
                <w:bCs/>
                <w:szCs w:val="21"/>
              </w:rPr>
              <w:t>个交易日（</w:t>
            </w:r>
            <w:r>
              <w:rPr>
                <w:rFonts w:ascii="Times New Roman" w:hAnsi="Times New Roman" w:cstheme="minorBidi"/>
                <w:b/>
                <w:bCs/>
                <w:szCs w:val="21"/>
              </w:rPr>
              <w:t>T+2</w:t>
            </w:r>
            <w:r>
              <w:rPr>
                <w:rFonts w:ascii="Times New Roman" w:hAnsi="Times New Roman" w:cstheme="minorBidi" w:hint="eastAsia"/>
                <w:b/>
                <w:bCs/>
                <w:szCs w:val="21"/>
              </w:rPr>
              <w:t>日）进行确认。</w:t>
            </w:r>
          </w:p>
          <w:p w:rsidR="000715C0" w:rsidRDefault="00CB504C">
            <w:pPr>
              <w:spacing w:line="276" w:lineRule="auto"/>
              <w:rPr>
                <w:rFonts w:ascii="Times New Roman" w:hAnsi="Times New Roman" w:cstheme="minorBidi"/>
                <w:b/>
                <w:bCs/>
                <w:szCs w:val="21"/>
              </w:rPr>
            </w:pPr>
            <w:r>
              <w:rPr>
                <w:rFonts w:ascii="Times New Roman" w:hAnsi="Times New Roman" w:cstheme="minorBidi" w:hint="eastAsia"/>
                <w:b/>
                <w:bCs/>
                <w:szCs w:val="21"/>
              </w:rPr>
              <w:t>非开放日申购</w:t>
            </w:r>
            <w:r>
              <w:rPr>
                <w:rFonts w:ascii="Times New Roman" w:hAnsi="Times New Roman" w:cstheme="minorBidi" w:hint="eastAsia"/>
                <w:b/>
                <w:bCs/>
                <w:szCs w:val="21"/>
              </w:rPr>
              <w:t>/</w:t>
            </w:r>
            <w:r>
              <w:rPr>
                <w:rFonts w:ascii="Times New Roman" w:hAnsi="Times New Roman" w:cstheme="minorBidi" w:hint="eastAsia"/>
                <w:b/>
                <w:bCs/>
                <w:szCs w:val="21"/>
              </w:rPr>
              <w:t>赎回：非开放日提出</w:t>
            </w:r>
            <w:r>
              <w:rPr>
                <w:rFonts w:ascii="Times New Roman" w:hAnsi="Times New Roman" w:cstheme="minorBidi" w:hint="eastAsia"/>
                <w:b/>
                <w:bCs/>
                <w:szCs w:val="21"/>
              </w:rPr>
              <w:t>的</w:t>
            </w:r>
            <w:r>
              <w:rPr>
                <w:rFonts w:ascii="Times New Roman" w:hAnsi="Times New Roman" w:cstheme="minorBidi" w:hint="eastAsia"/>
                <w:b/>
                <w:bCs/>
                <w:szCs w:val="21"/>
              </w:rPr>
              <w:t>申购</w:t>
            </w:r>
            <w:r>
              <w:rPr>
                <w:rFonts w:ascii="Times New Roman" w:hAnsi="Times New Roman" w:cstheme="minorBidi"/>
                <w:b/>
                <w:bCs/>
                <w:szCs w:val="21"/>
              </w:rPr>
              <w:t>/</w:t>
            </w:r>
            <w:r>
              <w:rPr>
                <w:rFonts w:ascii="Times New Roman" w:hAnsi="Times New Roman" w:cstheme="minorBidi" w:hint="eastAsia"/>
                <w:b/>
                <w:bCs/>
                <w:szCs w:val="21"/>
              </w:rPr>
              <w:t>赎回申请，等同在下一个开放日（</w:t>
            </w:r>
            <w:r>
              <w:rPr>
                <w:rFonts w:ascii="Times New Roman" w:hAnsi="Times New Roman" w:cstheme="minorBidi"/>
                <w:b/>
                <w:bCs/>
                <w:szCs w:val="21"/>
              </w:rPr>
              <w:t>T</w:t>
            </w:r>
            <w:r>
              <w:rPr>
                <w:rFonts w:ascii="Times New Roman" w:hAnsi="Times New Roman" w:cstheme="minorBidi" w:hint="eastAsia"/>
                <w:b/>
                <w:bCs/>
                <w:szCs w:val="21"/>
              </w:rPr>
              <w:t>日）</w:t>
            </w:r>
            <w:r>
              <w:rPr>
                <w:rFonts w:ascii="Times New Roman" w:hAnsi="Times New Roman"/>
                <w:b/>
                <w:bCs/>
                <w:szCs w:val="21"/>
              </w:rPr>
              <w:t>00:00-15:30</w:t>
            </w:r>
            <w:r>
              <w:rPr>
                <w:rFonts w:ascii="Times New Roman" w:hAnsi="Times New Roman" w:cstheme="minorBidi" w:hint="eastAsia"/>
                <w:b/>
                <w:bCs/>
                <w:szCs w:val="21"/>
              </w:rPr>
              <w:t>的申购</w:t>
            </w:r>
            <w:r>
              <w:rPr>
                <w:rFonts w:ascii="Times New Roman" w:hAnsi="Times New Roman" w:cstheme="minorBidi"/>
                <w:b/>
                <w:bCs/>
                <w:szCs w:val="21"/>
              </w:rPr>
              <w:t>/</w:t>
            </w:r>
            <w:r>
              <w:rPr>
                <w:rFonts w:ascii="Times New Roman" w:hAnsi="Times New Roman" w:cstheme="minorBidi" w:hint="eastAsia"/>
                <w:b/>
                <w:bCs/>
                <w:szCs w:val="21"/>
              </w:rPr>
              <w:t>赎回申请，在开放日（</w:t>
            </w:r>
            <w:r>
              <w:rPr>
                <w:rFonts w:ascii="Times New Roman" w:hAnsi="Times New Roman" w:cstheme="minorBidi"/>
                <w:b/>
                <w:bCs/>
                <w:szCs w:val="21"/>
              </w:rPr>
              <w:t>T</w:t>
            </w:r>
            <w:r>
              <w:rPr>
                <w:rFonts w:ascii="Times New Roman" w:hAnsi="Times New Roman" w:cstheme="minorBidi" w:hint="eastAsia"/>
                <w:b/>
                <w:bCs/>
                <w:szCs w:val="21"/>
              </w:rPr>
              <w:t>日）后第</w:t>
            </w:r>
            <w:r>
              <w:rPr>
                <w:rFonts w:ascii="Times New Roman" w:hAnsi="Times New Roman" w:cstheme="minorBidi"/>
                <w:b/>
                <w:bCs/>
                <w:szCs w:val="21"/>
              </w:rPr>
              <w:t xml:space="preserve"> 1 </w:t>
            </w:r>
            <w:r>
              <w:rPr>
                <w:rFonts w:ascii="Times New Roman" w:hAnsi="Times New Roman" w:cstheme="minorBidi" w:hint="eastAsia"/>
                <w:b/>
                <w:bCs/>
                <w:szCs w:val="21"/>
              </w:rPr>
              <w:t>个交易日（</w:t>
            </w:r>
            <w:r>
              <w:rPr>
                <w:rFonts w:ascii="Times New Roman" w:hAnsi="Times New Roman" w:cstheme="minorBidi"/>
                <w:b/>
                <w:bCs/>
                <w:szCs w:val="21"/>
              </w:rPr>
              <w:t>T+1</w:t>
            </w:r>
            <w:r>
              <w:rPr>
                <w:rFonts w:ascii="Times New Roman" w:hAnsi="Times New Roman" w:cstheme="minorBidi" w:hint="eastAsia"/>
                <w:b/>
                <w:bCs/>
                <w:szCs w:val="21"/>
              </w:rPr>
              <w:t>日）进行确认。</w:t>
            </w:r>
          </w:p>
          <w:p w:rsidR="000715C0" w:rsidRDefault="00CB504C">
            <w:pPr>
              <w:spacing w:line="276" w:lineRule="auto"/>
              <w:rPr>
                <w:rFonts w:ascii="Times New Roman" w:hAnsi="Times New Roman" w:cstheme="minorBidi"/>
                <w:szCs w:val="21"/>
              </w:rPr>
            </w:pPr>
            <w:r>
              <w:rPr>
                <w:rFonts w:ascii="Times New Roman" w:hAnsi="Times New Roman" w:hint="eastAsia"/>
                <w:bCs/>
                <w:szCs w:val="21"/>
              </w:rPr>
              <w:t>若本产品通过代理销售机构销售，代理销售机构实际受理时间可能与说明书不一致，具体以代理销售机构通知为准。</w:t>
            </w:r>
          </w:p>
          <w:p w:rsidR="000715C0" w:rsidRDefault="00CB504C">
            <w:pPr>
              <w:spacing w:line="276" w:lineRule="auto"/>
              <w:rPr>
                <w:rFonts w:ascii="Times New Roman" w:hAnsi="Times New Roman"/>
                <w:bCs/>
                <w:szCs w:val="21"/>
              </w:rPr>
            </w:pPr>
            <w:r>
              <w:rPr>
                <w:rFonts w:ascii="Times New Roman" w:hAnsi="Times New Roman" w:cstheme="minorBidi" w:hint="eastAsia"/>
                <w:szCs w:val="21"/>
              </w:rPr>
              <w:t>该产品按照“金额申购、份额赎回”的原则以申赎确认日上</w:t>
            </w:r>
            <w:r>
              <w:rPr>
                <w:rFonts w:ascii="Times New Roman" w:hAnsi="Times New Roman" w:cstheme="minorBidi" w:hint="eastAsia"/>
                <w:szCs w:val="21"/>
              </w:rPr>
              <w:t>1</w:t>
            </w:r>
            <w:r>
              <w:rPr>
                <w:rFonts w:ascii="Times New Roman" w:hAnsi="Times New Roman" w:cstheme="minorBidi" w:hint="eastAsia"/>
                <w:szCs w:val="21"/>
              </w:rPr>
              <w:t>个交易日的单位净值计算申购份额、赎回金额。</w:t>
            </w:r>
          </w:p>
        </w:tc>
      </w:tr>
      <w:tr w:rsidR="000715C0">
        <w:trPr>
          <w:gridAfter w:val="1"/>
          <w:wAfter w:w="15" w:type="dxa"/>
          <w:trHeight w:val="373"/>
        </w:trPr>
        <w:tc>
          <w:tcPr>
            <w:tcW w:w="1739" w:type="dxa"/>
            <w:vAlign w:val="center"/>
          </w:tcPr>
          <w:p w:rsidR="000715C0" w:rsidRDefault="00CB504C">
            <w:pPr>
              <w:spacing w:line="276" w:lineRule="auto"/>
              <w:jc w:val="center"/>
              <w:rPr>
                <w:rFonts w:ascii="Times New Roman" w:hAnsi="Times New Roman"/>
                <w:szCs w:val="21"/>
              </w:rPr>
            </w:pPr>
            <w:r>
              <w:rPr>
                <w:rFonts w:ascii="Times New Roman" w:hAnsi="Times New Roman" w:cs="宋体" w:hint="eastAsia"/>
                <w:szCs w:val="21"/>
              </w:rPr>
              <w:t>资金到账日</w:t>
            </w:r>
          </w:p>
        </w:tc>
        <w:tc>
          <w:tcPr>
            <w:tcW w:w="6213" w:type="dxa"/>
          </w:tcPr>
          <w:p w:rsidR="000715C0" w:rsidRDefault="00CB504C">
            <w:pPr>
              <w:spacing w:line="276" w:lineRule="auto"/>
              <w:rPr>
                <w:rFonts w:ascii="Times New Roman" w:hAnsi="Times New Roman" w:cs="宋体"/>
                <w:szCs w:val="21"/>
              </w:rPr>
            </w:pPr>
            <w:r>
              <w:rPr>
                <w:rFonts w:ascii="Times New Roman" w:hAnsi="Times New Roman" w:cs="宋体" w:hint="eastAsia"/>
                <w:szCs w:val="21"/>
              </w:rPr>
              <w:t>申赎确认日或理财产品终止日（含提前终止日）后</w:t>
            </w:r>
            <w:r>
              <w:rPr>
                <w:rFonts w:ascii="Times New Roman" w:hAnsi="Times New Roman" w:cs="宋体" w:hint="eastAsia"/>
                <w:szCs w:val="21"/>
              </w:rPr>
              <w:t>2</w:t>
            </w:r>
            <w:r>
              <w:rPr>
                <w:rFonts w:ascii="Times New Roman" w:hAnsi="Times New Roman" w:cs="宋体" w:hint="eastAsia"/>
                <w:szCs w:val="21"/>
              </w:rPr>
              <w:t>个交易日内，若本产品通过代理销售机构渠道销售的，具体到账时间以投资者与代理销售机构的约定为准。</w:t>
            </w:r>
          </w:p>
        </w:tc>
      </w:tr>
      <w:tr w:rsidR="000715C0">
        <w:trPr>
          <w:gridAfter w:val="1"/>
          <w:wAfter w:w="15" w:type="dxa"/>
          <w:trHeight w:val="720"/>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认购</w:t>
            </w:r>
          </w:p>
        </w:tc>
        <w:tc>
          <w:tcPr>
            <w:tcW w:w="6213" w:type="dxa"/>
          </w:tcPr>
          <w:p w:rsidR="000715C0" w:rsidRDefault="00CB504C">
            <w:pPr>
              <w:spacing w:line="276" w:lineRule="auto"/>
              <w:ind w:rightChars="-51" w:right="-107"/>
              <w:rPr>
                <w:rFonts w:ascii="Times New Roman" w:hAnsi="Times New Roman"/>
                <w:bCs/>
                <w:szCs w:val="21"/>
              </w:rPr>
            </w:pPr>
            <w:r>
              <w:rPr>
                <w:rFonts w:ascii="Times New Roman" w:hAnsi="Times New Roman" w:hint="eastAsia"/>
                <w:bCs/>
                <w:szCs w:val="21"/>
              </w:rPr>
              <w:t>认购资金将于认购申请当日实时冻结或通过相关支付渠道（如有）划转，具体以销售（代理销售）机构实际处理为准。</w:t>
            </w:r>
          </w:p>
          <w:p w:rsidR="000715C0" w:rsidRDefault="00CB504C">
            <w:pPr>
              <w:spacing w:line="276" w:lineRule="auto"/>
              <w:ind w:rightChars="-51" w:right="-107"/>
              <w:rPr>
                <w:rFonts w:ascii="Times New Roman" w:hAnsi="Times New Roman"/>
                <w:bCs/>
                <w:szCs w:val="21"/>
              </w:rPr>
            </w:pPr>
            <w:r>
              <w:rPr>
                <w:rFonts w:ascii="Times New Roman" w:hAnsi="Times New Roman" w:hint="eastAsia"/>
                <w:bCs/>
                <w:szCs w:val="21"/>
              </w:rPr>
              <w:t>认购交易将于产品成立日进行确认，并按照产品初始单位净值折算认购份额。</w:t>
            </w:r>
          </w:p>
          <w:p w:rsidR="000715C0" w:rsidRDefault="00CB504C">
            <w:pPr>
              <w:spacing w:line="276" w:lineRule="auto"/>
              <w:ind w:rightChars="-51" w:right="-107"/>
              <w:rPr>
                <w:rFonts w:ascii="Times New Roman" w:hAnsi="Times New Roman"/>
                <w:bCs/>
                <w:szCs w:val="21"/>
              </w:rPr>
            </w:pPr>
            <w:r>
              <w:rPr>
                <w:rFonts w:ascii="Times New Roman" w:hAnsi="Times New Roman" w:hint="eastAsia"/>
                <w:b/>
                <w:szCs w:val="21"/>
              </w:rPr>
              <w:t>如新增认购使得单一投资者持有份额比例超过</w:t>
            </w:r>
            <w:r>
              <w:rPr>
                <w:rFonts w:ascii="Times New Roman" w:hAnsi="Times New Roman"/>
                <w:b/>
                <w:szCs w:val="21"/>
              </w:rPr>
              <w:t>50</w:t>
            </w:r>
            <w:r>
              <w:rPr>
                <w:rFonts w:ascii="Times New Roman" w:hAnsi="Times New Roman" w:hint="eastAsia"/>
                <w:b/>
                <w:szCs w:val="21"/>
              </w:rPr>
              <w:t>％，产品管理人将不再接受该投资者超出部分的认购申请。</w:t>
            </w:r>
            <w:r>
              <w:rPr>
                <w:rFonts w:ascii="Times New Roman" w:hAnsi="Times New Roman" w:hint="eastAsia"/>
                <w:bCs/>
                <w:szCs w:val="21"/>
              </w:rPr>
              <w:t>非因产品管理人主观因素导致突破前款规定比例限制的，在单一投资者持有比例降至</w:t>
            </w:r>
            <w:r>
              <w:rPr>
                <w:rFonts w:ascii="Times New Roman" w:hAnsi="Times New Roman"/>
                <w:bCs/>
                <w:szCs w:val="21"/>
              </w:rPr>
              <w:t>50</w:t>
            </w:r>
            <w:r>
              <w:rPr>
                <w:rFonts w:ascii="Times New Roman" w:hAnsi="Times New Roman" w:hint="eastAsia"/>
                <w:bCs/>
                <w:szCs w:val="21"/>
              </w:rPr>
              <w:t>％以下之前，产品管理人将不再接受该投资者对该理财产品的认购申请。</w:t>
            </w:r>
          </w:p>
        </w:tc>
      </w:tr>
      <w:tr w:rsidR="000715C0">
        <w:trPr>
          <w:gridAfter w:val="1"/>
          <w:wAfter w:w="15" w:type="dxa"/>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申购</w:t>
            </w:r>
          </w:p>
        </w:tc>
        <w:tc>
          <w:tcPr>
            <w:tcW w:w="6213" w:type="dxa"/>
          </w:tcPr>
          <w:p w:rsidR="000715C0" w:rsidRDefault="00CB504C">
            <w:pPr>
              <w:spacing w:line="276" w:lineRule="auto"/>
              <w:ind w:rightChars="-51" w:right="-107"/>
              <w:rPr>
                <w:rFonts w:ascii="Times New Roman" w:hAnsi="Times New Roman"/>
                <w:bCs/>
                <w:szCs w:val="21"/>
              </w:rPr>
            </w:pPr>
            <w:r>
              <w:rPr>
                <w:rFonts w:ascii="Times New Roman" w:hAnsi="Times New Roman" w:hint="eastAsia"/>
                <w:bCs/>
                <w:szCs w:val="21"/>
              </w:rPr>
              <w:t>申购资金将于申购申请当日实时冻结或通过相关支付渠道（如有）划转，具体以销售（代理销售）机构实际处理为准。</w:t>
            </w:r>
          </w:p>
          <w:p w:rsidR="000715C0" w:rsidRDefault="00CB504C">
            <w:pPr>
              <w:spacing w:line="276" w:lineRule="auto"/>
              <w:ind w:rightChars="-51" w:right="-107"/>
              <w:rPr>
                <w:rFonts w:ascii="Times New Roman" w:hAnsi="Times New Roman"/>
                <w:bCs/>
                <w:szCs w:val="21"/>
              </w:rPr>
            </w:pPr>
            <w:r>
              <w:rPr>
                <w:rFonts w:ascii="Times New Roman" w:hAnsi="Times New Roman" w:hint="eastAsia"/>
                <w:bCs/>
                <w:szCs w:val="21"/>
              </w:rPr>
              <w:t>暂停申购：</w:t>
            </w:r>
            <w:r>
              <w:rPr>
                <w:rFonts w:ascii="Times New Roman" w:hAnsi="Times New Roman" w:hint="eastAsia"/>
                <w:szCs w:val="21"/>
              </w:rPr>
              <w:t>渝农商理财有限责任公司</w:t>
            </w:r>
            <w:r>
              <w:rPr>
                <w:rFonts w:ascii="Times New Roman" w:hAnsi="Times New Roman"/>
                <w:szCs w:val="21"/>
              </w:rPr>
              <w:t>有权根据理财产品运作情况暂停本产品申购请求</w:t>
            </w:r>
            <w:r>
              <w:rPr>
                <w:rFonts w:ascii="Times New Roman" w:hAnsi="Times New Roman" w:hint="eastAsia"/>
                <w:bCs/>
                <w:szCs w:val="21"/>
              </w:rPr>
              <w:t>（详细内容见以</w:t>
            </w:r>
            <w:r>
              <w:rPr>
                <w:rFonts w:ascii="Times New Roman" w:hAnsi="Times New Roman" w:hint="eastAsia"/>
                <w:bCs/>
                <w:szCs w:val="21"/>
              </w:rPr>
              <w:t>下“</w:t>
            </w:r>
            <w:r>
              <w:rPr>
                <w:rFonts w:ascii="Times New Roman" w:hAnsi="Times New Roman" w:hint="eastAsia"/>
                <w:b/>
                <w:szCs w:val="21"/>
              </w:rPr>
              <w:t>拒绝或暂停申购的情形、处理方式和程序</w:t>
            </w:r>
            <w:r>
              <w:rPr>
                <w:rFonts w:ascii="Times New Roman" w:hAnsi="Times New Roman" w:hint="eastAsia"/>
                <w:bCs/>
                <w:szCs w:val="21"/>
              </w:rPr>
              <w:t>”）。</w:t>
            </w:r>
          </w:p>
          <w:p w:rsidR="000715C0" w:rsidRDefault="00CB504C">
            <w:pPr>
              <w:spacing w:line="276" w:lineRule="auto"/>
              <w:rPr>
                <w:rFonts w:ascii="Times New Roman" w:hAnsi="Times New Roman"/>
                <w:bCs/>
                <w:szCs w:val="21"/>
              </w:rPr>
            </w:pPr>
            <w:r>
              <w:rPr>
                <w:rFonts w:ascii="Times New Roman" w:hAnsi="Times New Roman" w:hint="eastAsia"/>
                <w:bCs/>
                <w:szCs w:val="21"/>
              </w:rPr>
              <w:t>理财产品开放期内任一开放日，若本理财产品总规模达到理财产品上限，</w:t>
            </w:r>
            <w:r>
              <w:rPr>
                <w:rFonts w:ascii="Times New Roman" w:hAnsi="Times New Roman" w:hint="eastAsia"/>
                <w:szCs w:val="21"/>
              </w:rPr>
              <w:t>渝农商理财有限责任公司</w:t>
            </w:r>
            <w:r>
              <w:rPr>
                <w:rFonts w:ascii="Times New Roman" w:hAnsi="Times New Roman" w:hint="eastAsia"/>
                <w:bCs/>
                <w:szCs w:val="21"/>
              </w:rPr>
              <w:t>有权拒绝超过本理财产品规模上限部分的申购申请。</w:t>
            </w:r>
          </w:p>
          <w:p w:rsidR="000715C0" w:rsidRDefault="00CB504C">
            <w:pPr>
              <w:spacing w:line="276" w:lineRule="auto"/>
              <w:rPr>
                <w:rFonts w:ascii="Times New Roman" w:hAnsi="Times New Roman"/>
                <w:bCs/>
                <w:szCs w:val="21"/>
              </w:rPr>
            </w:pPr>
            <w:r>
              <w:rPr>
                <w:rFonts w:ascii="Times New Roman" w:hAnsi="Times New Roman" w:hint="eastAsia"/>
                <w:b/>
                <w:szCs w:val="21"/>
              </w:rPr>
              <w:t>如新增申购使得单一投资者持有份额比例超过</w:t>
            </w:r>
            <w:r>
              <w:rPr>
                <w:rFonts w:ascii="Times New Roman" w:hAnsi="Times New Roman"/>
                <w:b/>
                <w:szCs w:val="21"/>
              </w:rPr>
              <w:t>50</w:t>
            </w:r>
            <w:r>
              <w:rPr>
                <w:rFonts w:ascii="Times New Roman" w:hAnsi="Times New Roman" w:hint="eastAsia"/>
                <w:b/>
                <w:szCs w:val="21"/>
              </w:rPr>
              <w:t>％，产品管理人将不再接受该投资者超出部分的申购申请。</w:t>
            </w:r>
            <w:r>
              <w:rPr>
                <w:rFonts w:ascii="Times New Roman" w:hAnsi="Times New Roman" w:hint="eastAsia"/>
                <w:bCs/>
                <w:szCs w:val="21"/>
              </w:rPr>
              <w:t>非因产品管理人主观</w:t>
            </w:r>
            <w:r>
              <w:rPr>
                <w:rFonts w:ascii="Times New Roman" w:hAnsi="Times New Roman" w:hint="eastAsia"/>
                <w:bCs/>
                <w:szCs w:val="21"/>
              </w:rPr>
              <w:lastRenderedPageBreak/>
              <w:t>因素导致突破前款规定比例限制的，在单一投资者持有比例降至</w:t>
            </w:r>
            <w:r>
              <w:rPr>
                <w:rFonts w:ascii="Times New Roman" w:hAnsi="Times New Roman"/>
                <w:bCs/>
                <w:szCs w:val="21"/>
              </w:rPr>
              <w:t>50</w:t>
            </w:r>
            <w:r>
              <w:rPr>
                <w:rFonts w:ascii="Times New Roman" w:hAnsi="Times New Roman" w:hint="eastAsia"/>
                <w:bCs/>
                <w:szCs w:val="21"/>
              </w:rPr>
              <w:t>％以下之前，产品管理人将不再接受该投资者对该理财产品的申购申请。</w:t>
            </w:r>
          </w:p>
        </w:tc>
      </w:tr>
      <w:tr w:rsidR="000715C0">
        <w:trPr>
          <w:gridAfter w:val="1"/>
          <w:wAfter w:w="15" w:type="dxa"/>
          <w:trHeight w:val="90"/>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lastRenderedPageBreak/>
              <w:t>赎回</w:t>
            </w:r>
          </w:p>
        </w:tc>
        <w:tc>
          <w:tcPr>
            <w:tcW w:w="6213" w:type="dxa"/>
          </w:tcPr>
          <w:p w:rsidR="000715C0" w:rsidRDefault="00CB504C">
            <w:pPr>
              <w:pStyle w:val="2"/>
              <w:spacing w:line="276" w:lineRule="auto"/>
              <w:ind w:rightChars="-51" w:right="-107" w:firstLineChars="0" w:firstLine="0"/>
              <w:rPr>
                <w:rFonts w:ascii="Times New Roman" w:hAnsi="Times New Roman"/>
                <w:bCs/>
                <w:szCs w:val="21"/>
              </w:rPr>
            </w:pPr>
            <w:r>
              <w:rPr>
                <w:rFonts w:ascii="Times New Roman" w:hAnsi="Times New Roman" w:hint="eastAsia"/>
                <w:bCs/>
                <w:szCs w:val="21"/>
              </w:rPr>
              <w:t>暂停赎回：</w:t>
            </w:r>
            <w:r>
              <w:rPr>
                <w:rFonts w:ascii="Times New Roman" w:hAnsi="Times New Roman" w:hint="eastAsia"/>
                <w:szCs w:val="21"/>
              </w:rPr>
              <w:t>渝农商理财有限责任公司</w:t>
            </w:r>
            <w:r>
              <w:rPr>
                <w:rFonts w:ascii="Times New Roman" w:hAnsi="Times New Roman"/>
                <w:szCs w:val="21"/>
              </w:rPr>
              <w:t>有权根据理财产品运作情况暂停本产品</w:t>
            </w:r>
            <w:r>
              <w:rPr>
                <w:rFonts w:ascii="Times New Roman" w:hAnsi="Times New Roman" w:hint="eastAsia"/>
                <w:szCs w:val="21"/>
              </w:rPr>
              <w:t>赎回申请</w:t>
            </w:r>
            <w:r>
              <w:rPr>
                <w:rFonts w:ascii="Times New Roman" w:hAnsi="Times New Roman" w:hint="eastAsia"/>
                <w:bCs/>
                <w:szCs w:val="21"/>
              </w:rPr>
              <w:t>（详细内容见以下“</w:t>
            </w:r>
            <w:r>
              <w:rPr>
                <w:rFonts w:ascii="Times New Roman" w:hAnsi="Times New Roman" w:hint="eastAsia"/>
                <w:b/>
                <w:szCs w:val="21"/>
              </w:rPr>
              <w:t>暂停赎回或延缓支付赎回款项的情形、处理方式和程序”</w:t>
            </w:r>
            <w:r>
              <w:rPr>
                <w:rFonts w:ascii="Times New Roman" w:hAnsi="Times New Roman" w:hint="eastAsia"/>
                <w:bCs/>
                <w:szCs w:val="21"/>
              </w:rPr>
              <w:t>）。</w:t>
            </w:r>
          </w:p>
        </w:tc>
      </w:tr>
      <w:tr w:rsidR="000715C0">
        <w:trPr>
          <w:gridAfter w:val="1"/>
          <w:wAfter w:w="15" w:type="dxa"/>
          <w:trHeight w:val="1034"/>
        </w:trPr>
        <w:tc>
          <w:tcPr>
            <w:tcW w:w="1739" w:type="dxa"/>
            <w:vAlign w:val="center"/>
          </w:tcPr>
          <w:p w:rsidR="000715C0" w:rsidRDefault="00CB504C">
            <w:pPr>
              <w:spacing w:line="276" w:lineRule="auto"/>
              <w:jc w:val="center"/>
              <w:rPr>
                <w:rFonts w:ascii="Times New Roman" w:hAnsi="Times New Roman"/>
                <w:b/>
                <w:szCs w:val="21"/>
              </w:rPr>
            </w:pPr>
            <w:r>
              <w:rPr>
                <w:rFonts w:ascii="Times New Roman" w:hAnsi="Times New Roman" w:hint="eastAsia"/>
                <w:b/>
                <w:szCs w:val="21"/>
              </w:rPr>
              <w:t>巨额赎回</w:t>
            </w:r>
          </w:p>
          <w:p w:rsidR="000715C0" w:rsidRDefault="000715C0">
            <w:pPr>
              <w:spacing w:line="276" w:lineRule="auto"/>
              <w:jc w:val="center"/>
              <w:rPr>
                <w:rFonts w:ascii="Times New Roman" w:hAnsi="Times New Roman"/>
                <w:bCs/>
                <w:szCs w:val="21"/>
              </w:rPr>
            </w:pPr>
          </w:p>
        </w:tc>
        <w:tc>
          <w:tcPr>
            <w:tcW w:w="6213" w:type="dxa"/>
          </w:tcPr>
          <w:p w:rsidR="000715C0" w:rsidRDefault="00CB504C">
            <w:pPr>
              <w:spacing w:line="276" w:lineRule="auto"/>
              <w:ind w:rightChars="-51" w:right="-107"/>
              <w:rPr>
                <w:rFonts w:ascii="Times New Roman" w:hAnsi="Times New Roman"/>
                <w:b/>
                <w:szCs w:val="21"/>
              </w:rPr>
            </w:pPr>
            <w:r>
              <w:rPr>
                <w:rFonts w:ascii="Times New Roman" w:hAnsi="Times New Roman" w:hint="eastAsia"/>
                <w:b/>
                <w:szCs w:val="21"/>
              </w:rPr>
              <w:t>出现巨额赎回时，渝农商理财有限责任公司可拒绝超出前一日终理财产品总份额</w:t>
            </w:r>
            <w:r>
              <w:rPr>
                <w:rFonts w:ascii="Times New Roman" w:hAnsi="Times New Roman" w:hint="eastAsia"/>
                <w:b/>
                <w:szCs w:val="21"/>
              </w:rPr>
              <w:t>1</w:t>
            </w:r>
            <w:r>
              <w:rPr>
                <w:rFonts w:ascii="Times New Roman" w:hAnsi="Times New Roman"/>
                <w:b/>
                <w:szCs w:val="21"/>
              </w:rPr>
              <w:t>0%</w:t>
            </w:r>
            <w:r>
              <w:rPr>
                <w:rFonts w:ascii="Times New Roman" w:hAnsi="Times New Roman" w:hint="eastAsia"/>
                <w:b/>
                <w:szCs w:val="21"/>
              </w:rPr>
              <w:t>以外的赎回申请，并于申赎确认日后</w:t>
            </w:r>
            <w:r>
              <w:rPr>
                <w:rFonts w:ascii="Times New Roman" w:hAnsi="Times New Roman" w:hint="eastAsia"/>
                <w:b/>
                <w:szCs w:val="21"/>
              </w:rPr>
              <w:t>2</w:t>
            </w:r>
            <w:r>
              <w:rPr>
                <w:rFonts w:ascii="Times New Roman" w:hAnsi="Times New Roman" w:hint="eastAsia"/>
                <w:b/>
                <w:szCs w:val="21"/>
              </w:rPr>
              <w:t>个工作日内进行公告。对于接受赎回部分，按照正常赎回流程办理。</w:t>
            </w:r>
          </w:p>
          <w:p w:rsidR="000715C0" w:rsidRDefault="00CB504C">
            <w:pPr>
              <w:spacing w:line="276" w:lineRule="auto"/>
              <w:ind w:rightChars="-51" w:right="-107"/>
              <w:rPr>
                <w:rFonts w:ascii="Times New Roman" w:hAnsi="Times New Roman"/>
                <w:bCs/>
                <w:szCs w:val="21"/>
              </w:rPr>
            </w:pPr>
            <w:r>
              <w:rPr>
                <w:rFonts w:ascii="Times New Roman" w:hAnsi="Times New Roman" w:hint="eastAsia"/>
                <w:bCs/>
                <w:szCs w:val="21"/>
              </w:rPr>
              <w:t>如理财产品连续两个开放日出现巨额赎回情况，产品管理人有权在下一开放日暂停该理财产品的赎回申请。对于已经接受的赎回申请，产品管理人可以延缓支付赎回款项，但延缓期限不得超过</w:t>
            </w:r>
            <w:r>
              <w:rPr>
                <w:rFonts w:ascii="Times New Roman" w:hAnsi="Times New Roman" w:hint="eastAsia"/>
                <w:bCs/>
                <w:szCs w:val="21"/>
              </w:rPr>
              <w:t>20</w:t>
            </w:r>
            <w:r>
              <w:rPr>
                <w:rFonts w:ascii="Times New Roman" w:hAnsi="Times New Roman" w:hint="eastAsia"/>
                <w:bCs/>
                <w:szCs w:val="21"/>
              </w:rPr>
              <w:t>个工作日。</w:t>
            </w:r>
          </w:p>
        </w:tc>
      </w:tr>
      <w:tr w:rsidR="000715C0">
        <w:trPr>
          <w:gridAfter w:val="1"/>
          <w:wAfter w:w="15" w:type="dxa"/>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业绩比较基准</w:t>
            </w:r>
          </w:p>
        </w:tc>
        <w:tc>
          <w:tcPr>
            <w:tcW w:w="6213" w:type="dxa"/>
          </w:tcPr>
          <w:p w:rsidR="000715C0" w:rsidRDefault="00CB504C">
            <w:pPr>
              <w:autoSpaceDE w:val="0"/>
              <w:autoSpaceDN w:val="0"/>
              <w:adjustRightInd w:val="0"/>
              <w:spacing w:line="276" w:lineRule="auto"/>
              <w:jc w:val="left"/>
              <w:rPr>
                <w:rFonts w:ascii="Times New Roman" w:hAnsi="Times New Roman"/>
                <w:bCs/>
                <w:szCs w:val="21"/>
              </w:rPr>
            </w:pPr>
            <w:r>
              <w:rPr>
                <w:rFonts w:ascii="Times New Roman" w:hAnsi="Times New Roman" w:hint="eastAsia"/>
                <w:bCs/>
                <w:szCs w:val="21"/>
              </w:rPr>
              <w:t>A</w:t>
            </w:r>
            <w:r>
              <w:rPr>
                <w:rFonts w:ascii="Times New Roman" w:hAnsi="Times New Roman" w:hint="eastAsia"/>
                <w:bCs/>
                <w:szCs w:val="21"/>
              </w:rPr>
              <w:t>份额业绩比较基准为</w:t>
            </w:r>
            <w:r>
              <w:rPr>
                <w:rFonts w:ascii="Times New Roman" w:hAnsi="Times New Roman" w:hint="eastAsia"/>
                <w:bCs/>
                <w:szCs w:val="21"/>
              </w:rPr>
              <w:t>2.2%-3.8%</w:t>
            </w:r>
            <w:r>
              <w:rPr>
                <w:rFonts w:ascii="Times New Roman" w:hAnsi="Times New Roman" w:hint="eastAsia"/>
                <w:bCs/>
                <w:szCs w:val="21"/>
              </w:rPr>
              <w:t>；</w:t>
            </w:r>
          </w:p>
          <w:p w:rsidR="000715C0" w:rsidRDefault="00CB504C">
            <w:pPr>
              <w:autoSpaceDE w:val="0"/>
              <w:autoSpaceDN w:val="0"/>
              <w:adjustRightInd w:val="0"/>
              <w:spacing w:line="276" w:lineRule="auto"/>
              <w:jc w:val="left"/>
              <w:rPr>
                <w:rFonts w:ascii="Times New Roman" w:hAnsi="Times New Roman"/>
                <w:bCs/>
                <w:szCs w:val="21"/>
              </w:rPr>
            </w:pPr>
            <w:r>
              <w:rPr>
                <w:rFonts w:ascii="Times New Roman" w:hAnsi="Times New Roman" w:hint="eastAsia"/>
                <w:bCs/>
                <w:szCs w:val="21"/>
              </w:rPr>
              <w:t>B</w:t>
            </w:r>
            <w:r>
              <w:rPr>
                <w:rFonts w:ascii="Times New Roman" w:hAnsi="Times New Roman" w:hint="eastAsia"/>
                <w:bCs/>
                <w:szCs w:val="21"/>
              </w:rPr>
              <w:t>份额业绩比较基准为</w:t>
            </w:r>
            <w:r>
              <w:rPr>
                <w:rFonts w:ascii="Times New Roman" w:hAnsi="Times New Roman" w:hint="eastAsia"/>
                <w:bCs/>
                <w:szCs w:val="21"/>
              </w:rPr>
              <w:t>2.2%-3.8%</w:t>
            </w:r>
            <w:r>
              <w:rPr>
                <w:rFonts w:ascii="Times New Roman" w:hAnsi="Times New Roman" w:hint="eastAsia"/>
                <w:bCs/>
                <w:szCs w:val="21"/>
              </w:rPr>
              <w:t>；</w:t>
            </w:r>
          </w:p>
          <w:p w:rsidR="000715C0" w:rsidRDefault="00CB504C">
            <w:pPr>
              <w:autoSpaceDE w:val="0"/>
              <w:autoSpaceDN w:val="0"/>
              <w:adjustRightInd w:val="0"/>
              <w:spacing w:line="276" w:lineRule="auto"/>
              <w:jc w:val="left"/>
              <w:rPr>
                <w:rFonts w:ascii="Times New Roman" w:hAnsi="Times New Roman"/>
                <w:bCs/>
                <w:szCs w:val="21"/>
              </w:rPr>
            </w:pPr>
            <w:r>
              <w:rPr>
                <w:rFonts w:ascii="Times New Roman" w:hAnsi="Times New Roman" w:hint="eastAsia"/>
                <w:bCs/>
                <w:szCs w:val="21"/>
              </w:rPr>
              <w:t>C</w:t>
            </w:r>
            <w:r>
              <w:rPr>
                <w:rFonts w:ascii="Times New Roman" w:hAnsi="Times New Roman" w:hint="eastAsia"/>
                <w:bCs/>
                <w:szCs w:val="21"/>
              </w:rPr>
              <w:t>份额业绩比较基准为</w:t>
            </w:r>
            <w:r>
              <w:rPr>
                <w:rFonts w:ascii="Times New Roman" w:hAnsi="Times New Roman" w:hint="eastAsia"/>
                <w:bCs/>
                <w:szCs w:val="21"/>
              </w:rPr>
              <w:t>2.2%-3.8%</w:t>
            </w:r>
            <w:r>
              <w:rPr>
                <w:rFonts w:ascii="Times New Roman" w:hAnsi="Times New Roman" w:hint="eastAsia"/>
                <w:bCs/>
                <w:szCs w:val="21"/>
              </w:rPr>
              <w:t>；</w:t>
            </w:r>
          </w:p>
          <w:p w:rsidR="000715C0" w:rsidRDefault="00CB504C">
            <w:pPr>
              <w:autoSpaceDE w:val="0"/>
              <w:autoSpaceDN w:val="0"/>
              <w:adjustRightInd w:val="0"/>
              <w:spacing w:line="276" w:lineRule="auto"/>
              <w:jc w:val="left"/>
              <w:rPr>
                <w:rFonts w:ascii="Times New Roman" w:hAnsi="Times New Roman"/>
                <w:bCs/>
                <w:szCs w:val="21"/>
              </w:rPr>
            </w:pPr>
            <w:r>
              <w:rPr>
                <w:rFonts w:ascii="Times New Roman" w:hAnsi="Times New Roman" w:hint="eastAsia"/>
                <w:bCs/>
                <w:szCs w:val="21"/>
              </w:rPr>
              <w:t>D</w:t>
            </w:r>
            <w:r>
              <w:rPr>
                <w:rFonts w:ascii="Times New Roman" w:hAnsi="Times New Roman" w:hint="eastAsia"/>
                <w:bCs/>
                <w:szCs w:val="21"/>
              </w:rPr>
              <w:t>份额业绩比较基准为</w:t>
            </w:r>
            <w:r>
              <w:rPr>
                <w:rFonts w:ascii="Times New Roman" w:hAnsi="Times New Roman" w:hint="eastAsia"/>
                <w:bCs/>
                <w:szCs w:val="21"/>
              </w:rPr>
              <w:t>2.2%-3.8%</w:t>
            </w:r>
            <w:r>
              <w:rPr>
                <w:rFonts w:ascii="Times New Roman" w:hAnsi="Times New Roman" w:hint="eastAsia"/>
                <w:bCs/>
                <w:szCs w:val="21"/>
              </w:rPr>
              <w:t>；</w:t>
            </w:r>
          </w:p>
          <w:p w:rsidR="000715C0" w:rsidRDefault="00CB504C">
            <w:pPr>
              <w:autoSpaceDE w:val="0"/>
              <w:autoSpaceDN w:val="0"/>
              <w:adjustRightInd w:val="0"/>
              <w:spacing w:line="276" w:lineRule="auto"/>
              <w:jc w:val="left"/>
              <w:rPr>
                <w:rFonts w:ascii="Times New Roman" w:hAnsi="Times New Roman"/>
                <w:bCs/>
                <w:szCs w:val="21"/>
              </w:rPr>
            </w:pPr>
            <w:r>
              <w:rPr>
                <w:rFonts w:ascii="Times New Roman" w:hAnsi="Times New Roman" w:hint="eastAsia"/>
                <w:bCs/>
                <w:szCs w:val="21"/>
              </w:rPr>
              <w:t>E</w:t>
            </w:r>
            <w:r>
              <w:rPr>
                <w:rFonts w:ascii="Times New Roman" w:hAnsi="Times New Roman" w:hint="eastAsia"/>
                <w:bCs/>
                <w:szCs w:val="21"/>
              </w:rPr>
              <w:t>份额业绩比较基准为</w:t>
            </w:r>
            <w:r>
              <w:rPr>
                <w:rFonts w:ascii="Times New Roman" w:hAnsi="Times New Roman" w:hint="eastAsia"/>
                <w:bCs/>
                <w:szCs w:val="21"/>
              </w:rPr>
              <w:t>2.2%-3.8%</w:t>
            </w:r>
            <w:r>
              <w:rPr>
                <w:rFonts w:ascii="Times New Roman" w:hAnsi="Times New Roman" w:hint="eastAsia"/>
                <w:bCs/>
                <w:szCs w:val="21"/>
              </w:rPr>
              <w:t>；</w:t>
            </w:r>
          </w:p>
          <w:p w:rsidR="000715C0" w:rsidRDefault="00CB504C">
            <w:pPr>
              <w:autoSpaceDE w:val="0"/>
              <w:autoSpaceDN w:val="0"/>
              <w:adjustRightInd w:val="0"/>
              <w:spacing w:line="276" w:lineRule="auto"/>
              <w:jc w:val="left"/>
              <w:rPr>
                <w:rFonts w:ascii="Times New Roman" w:hAnsi="Times New Roman"/>
                <w:bCs/>
                <w:szCs w:val="21"/>
              </w:rPr>
            </w:pPr>
            <w:r>
              <w:rPr>
                <w:rFonts w:ascii="Times New Roman" w:hAnsi="Times New Roman" w:hint="eastAsia"/>
                <w:bCs/>
                <w:szCs w:val="21"/>
              </w:rPr>
              <w:t>F</w:t>
            </w:r>
            <w:r>
              <w:rPr>
                <w:rFonts w:ascii="Times New Roman" w:hAnsi="Times New Roman" w:hint="eastAsia"/>
                <w:bCs/>
                <w:szCs w:val="21"/>
              </w:rPr>
              <w:t>份额业绩比较基准为</w:t>
            </w:r>
            <w:r>
              <w:rPr>
                <w:rFonts w:ascii="Times New Roman" w:hAnsi="Times New Roman" w:hint="eastAsia"/>
                <w:bCs/>
                <w:szCs w:val="21"/>
              </w:rPr>
              <w:t>2.2%-3.8%</w:t>
            </w:r>
            <w:r>
              <w:rPr>
                <w:rFonts w:ascii="Times New Roman" w:hAnsi="Times New Roman" w:hint="eastAsia"/>
                <w:bCs/>
                <w:szCs w:val="21"/>
              </w:rPr>
              <w:t>；</w:t>
            </w:r>
          </w:p>
          <w:p w:rsidR="000715C0" w:rsidRDefault="00CB504C">
            <w:pPr>
              <w:autoSpaceDE w:val="0"/>
              <w:autoSpaceDN w:val="0"/>
              <w:adjustRightInd w:val="0"/>
              <w:spacing w:line="276" w:lineRule="auto"/>
              <w:jc w:val="left"/>
              <w:rPr>
                <w:rFonts w:ascii="Times New Roman" w:hAnsi="Times New Roman"/>
                <w:bCs/>
                <w:szCs w:val="21"/>
              </w:rPr>
            </w:pPr>
            <w:r>
              <w:rPr>
                <w:rFonts w:ascii="Times New Roman" w:hAnsi="Times New Roman" w:hint="eastAsia"/>
                <w:bCs/>
                <w:szCs w:val="21"/>
              </w:rPr>
              <w:t>G</w:t>
            </w:r>
            <w:r>
              <w:rPr>
                <w:rFonts w:ascii="Times New Roman" w:hAnsi="Times New Roman" w:hint="eastAsia"/>
                <w:bCs/>
                <w:szCs w:val="21"/>
              </w:rPr>
              <w:t>份额业绩比较基准为</w:t>
            </w:r>
            <w:r>
              <w:rPr>
                <w:rFonts w:ascii="Times New Roman" w:hAnsi="Times New Roman" w:hint="eastAsia"/>
                <w:bCs/>
                <w:szCs w:val="21"/>
              </w:rPr>
              <w:t>2.2%-3.8%</w:t>
            </w:r>
            <w:r>
              <w:rPr>
                <w:rFonts w:ascii="Times New Roman" w:hAnsi="Times New Roman" w:hint="eastAsia"/>
                <w:bCs/>
                <w:szCs w:val="21"/>
              </w:rPr>
              <w:t>；</w:t>
            </w:r>
          </w:p>
          <w:p w:rsidR="000715C0" w:rsidRDefault="00CB504C">
            <w:pPr>
              <w:autoSpaceDE w:val="0"/>
              <w:autoSpaceDN w:val="0"/>
              <w:adjustRightInd w:val="0"/>
              <w:spacing w:line="276" w:lineRule="auto"/>
              <w:jc w:val="left"/>
              <w:rPr>
                <w:rFonts w:ascii="Times New Roman" w:hAnsi="Times New Roman"/>
                <w:bCs/>
                <w:szCs w:val="21"/>
              </w:rPr>
            </w:pPr>
            <w:r>
              <w:rPr>
                <w:rFonts w:ascii="Times New Roman" w:hAnsi="Times New Roman"/>
                <w:bCs/>
                <w:szCs w:val="21"/>
              </w:rPr>
              <w:t>H</w:t>
            </w:r>
            <w:r>
              <w:rPr>
                <w:rFonts w:ascii="Times New Roman" w:hAnsi="Times New Roman" w:hint="eastAsia"/>
                <w:bCs/>
                <w:szCs w:val="21"/>
              </w:rPr>
              <w:t>份额业绩比较基准为</w:t>
            </w:r>
            <w:r>
              <w:rPr>
                <w:rFonts w:ascii="Times New Roman" w:hAnsi="Times New Roman" w:hint="eastAsia"/>
                <w:bCs/>
                <w:szCs w:val="21"/>
              </w:rPr>
              <w:t>2.2%-3.8%</w:t>
            </w:r>
            <w:r>
              <w:rPr>
                <w:rFonts w:ascii="Times New Roman" w:hAnsi="Times New Roman" w:hint="eastAsia"/>
                <w:bCs/>
                <w:szCs w:val="21"/>
              </w:rPr>
              <w:t>；</w:t>
            </w:r>
          </w:p>
          <w:p w:rsidR="000715C0" w:rsidRDefault="00CB504C">
            <w:pPr>
              <w:autoSpaceDE w:val="0"/>
              <w:autoSpaceDN w:val="0"/>
              <w:adjustRightInd w:val="0"/>
              <w:spacing w:line="276" w:lineRule="auto"/>
              <w:jc w:val="left"/>
              <w:rPr>
                <w:rFonts w:ascii="Times New Roman" w:hAnsi="Times New Roman"/>
                <w:bCs/>
                <w:szCs w:val="21"/>
              </w:rPr>
            </w:pPr>
            <w:r>
              <w:rPr>
                <w:rFonts w:ascii="Times New Roman" w:hAnsi="Times New Roman" w:hint="eastAsia"/>
                <w:bCs/>
                <w:szCs w:val="21"/>
              </w:rPr>
              <w:t>I</w:t>
            </w:r>
            <w:r>
              <w:rPr>
                <w:rFonts w:ascii="Times New Roman" w:hAnsi="Times New Roman" w:hint="eastAsia"/>
                <w:bCs/>
                <w:szCs w:val="21"/>
              </w:rPr>
              <w:t>份额业绩比较基准为</w:t>
            </w:r>
            <w:r>
              <w:rPr>
                <w:rFonts w:ascii="Times New Roman" w:hAnsi="Times New Roman" w:hint="eastAsia"/>
                <w:bCs/>
                <w:szCs w:val="21"/>
              </w:rPr>
              <w:t>2.2%-3.8%</w:t>
            </w:r>
            <w:r>
              <w:rPr>
                <w:rFonts w:ascii="Times New Roman" w:hAnsi="Times New Roman" w:hint="eastAsia"/>
                <w:bCs/>
                <w:szCs w:val="21"/>
              </w:rPr>
              <w:t>。</w:t>
            </w:r>
          </w:p>
          <w:p w:rsidR="000715C0" w:rsidRDefault="00CB504C">
            <w:pPr>
              <w:autoSpaceDE w:val="0"/>
              <w:autoSpaceDN w:val="0"/>
              <w:adjustRightInd w:val="0"/>
              <w:spacing w:line="276" w:lineRule="auto"/>
              <w:jc w:val="left"/>
              <w:rPr>
                <w:rFonts w:ascii="Times New Roman" w:hAnsi="Times New Roman"/>
                <w:bCs/>
                <w:szCs w:val="21"/>
              </w:rPr>
            </w:pPr>
            <w:r>
              <w:rPr>
                <w:rFonts w:ascii="Times New Roman" w:hAnsi="Times New Roman" w:hint="eastAsia"/>
                <w:bCs/>
                <w:szCs w:val="21"/>
              </w:rPr>
              <w:t>本产品业绩比较基准参考中债</w:t>
            </w:r>
            <w:r>
              <w:rPr>
                <w:rFonts w:ascii="Times New Roman" w:hAnsi="Times New Roman" w:hint="eastAsia"/>
                <w:bCs/>
                <w:szCs w:val="21"/>
              </w:rPr>
              <w:t>-</w:t>
            </w:r>
            <w:r>
              <w:rPr>
                <w:rFonts w:ascii="Times New Roman" w:hAnsi="Times New Roman" w:hint="eastAsia"/>
                <w:bCs/>
                <w:szCs w:val="21"/>
              </w:rPr>
              <w:t>新综合全价（</w:t>
            </w:r>
            <w:r>
              <w:rPr>
                <w:rFonts w:ascii="Times New Roman" w:hAnsi="Times New Roman" w:hint="eastAsia"/>
                <w:bCs/>
                <w:szCs w:val="21"/>
              </w:rPr>
              <w:t>1-3</w:t>
            </w:r>
            <w:r>
              <w:rPr>
                <w:rFonts w:ascii="Times New Roman" w:hAnsi="Times New Roman" w:hint="eastAsia"/>
                <w:bCs/>
                <w:szCs w:val="21"/>
              </w:rPr>
              <w:t>年）指数收益率（市值法）近一年历史数据、中国人民银行公布的一年定期存款基准利率进行组合测算，并根据产品说明书约定投资范围内各类资产</w:t>
            </w:r>
            <w:r>
              <w:rPr>
                <w:rFonts w:ascii="Times New Roman" w:hAnsi="Times New Roman" w:hint="eastAsia"/>
                <w:bCs/>
                <w:szCs w:val="21"/>
              </w:rPr>
              <w:t>的收益率水平、投资比例、市场情况进行情景分析（以上均为年化收益率）。</w:t>
            </w:r>
          </w:p>
          <w:p w:rsidR="000715C0" w:rsidRDefault="00CB504C">
            <w:pPr>
              <w:autoSpaceDE w:val="0"/>
              <w:autoSpaceDN w:val="0"/>
              <w:adjustRightInd w:val="0"/>
              <w:spacing w:line="276" w:lineRule="auto"/>
              <w:jc w:val="left"/>
              <w:rPr>
                <w:rFonts w:ascii="Times New Roman" w:hAnsi="Times New Roman"/>
                <w:b/>
                <w:szCs w:val="21"/>
              </w:rPr>
            </w:pPr>
            <w:r>
              <w:rPr>
                <w:rFonts w:ascii="Times New Roman" w:hAnsi="Times New Roman" w:hint="eastAsia"/>
                <w:bCs/>
                <w:szCs w:val="21"/>
              </w:rPr>
              <w:t>本产品为净值型产品，其业绩表现将随市场波动，具有不确定性。</w:t>
            </w:r>
            <w:r>
              <w:rPr>
                <w:rFonts w:ascii="Times New Roman" w:hAnsi="Times New Roman" w:hint="eastAsia"/>
                <w:b/>
                <w:szCs w:val="21"/>
              </w:rPr>
              <w:t>本业绩比较基准仅作为参考，不具有法律约束力，不是预期收益率，不代表本产品的未来表现和实际收益，不构成对本产品的任何收益承诺。</w:t>
            </w:r>
          </w:p>
          <w:p w:rsidR="000715C0" w:rsidRDefault="00CB504C">
            <w:pPr>
              <w:autoSpaceDE w:val="0"/>
              <w:autoSpaceDN w:val="0"/>
              <w:adjustRightInd w:val="0"/>
              <w:spacing w:line="276" w:lineRule="auto"/>
              <w:jc w:val="left"/>
              <w:rPr>
                <w:rFonts w:ascii="Times New Roman" w:hAnsi="Times New Roman"/>
                <w:bCs/>
                <w:szCs w:val="21"/>
              </w:rPr>
            </w:pPr>
            <w:r>
              <w:rPr>
                <w:rFonts w:ascii="Times New Roman" w:hAnsi="Times New Roman" w:hint="eastAsia"/>
                <w:bCs/>
                <w:szCs w:val="21"/>
              </w:rPr>
              <w:t>在法律法规允许的情况下，产品管理人有权根据市场变动及产品运作情况调整业绩比较基准并进行信息披露。</w:t>
            </w:r>
          </w:p>
        </w:tc>
      </w:tr>
      <w:tr w:rsidR="000715C0">
        <w:trPr>
          <w:gridAfter w:val="1"/>
          <w:wAfter w:w="15" w:type="dxa"/>
        </w:trPr>
        <w:tc>
          <w:tcPr>
            <w:tcW w:w="1739" w:type="dxa"/>
            <w:vAlign w:val="center"/>
          </w:tcPr>
          <w:p w:rsidR="000715C0" w:rsidRDefault="00CB504C">
            <w:pPr>
              <w:widowControl/>
              <w:spacing w:line="276" w:lineRule="auto"/>
              <w:jc w:val="center"/>
              <w:rPr>
                <w:rFonts w:ascii="Times New Roman" w:hAnsi="Times New Roman"/>
                <w:bCs/>
                <w:szCs w:val="21"/>
              </w:rPr>
            </w:pPr>
            <w:r>
              <w:rPr>
                <w:rFonts w:ascii="Times New Roman" w:hAnsi="Times New Roman" w:hint="eastAsia"/>
                <w:bCs/>
                <w:szCs w:val="21"/>
              </w:rPr>
              <w:t>初始单位净值</w:t>
            </w:r>
          </w:p>
        </w:tc>
        <w:tc>
          <w:tcPr>
            <w:tcW w:w="6213" w:type="dxa"/>
          </w:tcPr>
          <w:p w:rsidR="000715C0" w:rsidRDefault="00CB504C">
            <w:pPr>
              <w:spacing w:line="276" w:lineRule="auto"/>
              <w:rPr>
                <w:rFonts w:ascii="Times New Roman" w:hAnsi="Times New Roman"/>
                <w:bCs/>
                <w:szCs w:val="21"/>
              </w:rPr>
            </w:pPr>
            <w:r>
              <w:rPr>
                <w:rFonts w:ascii="Times New Roman" w:hAnsi="Times New Roman" w:hint="eastAsia"/>
                <w:bCs/>
                <w:szCs w:val="21"/>
              </w:rPr>
              <w:t>1.0000</w:t>
            </w:r>
            <w:r>
              <w:rPr>
                <w:rFonts w:ascii="Times New Roman" w:hAnsi="Times New Roman" w:hint="eastAsia"/>
                <w:bCs/>
                <w:szCs w:val="21"/>
              </w:rPr>
              <w:t>元</w:t>
            </w:r>
            <w:r>
              <w:rPr>
                <w:rFonts w:ascii="Times New Roman" w:hAnsi="Times New Roman" w:hint="eastAsia"/>
                <w:bCs/>
                <w:szCs w:val="21"/>
              </w:rPr>
              <w:t>/</w:t>
            </w:r>
            <w:r>
              <w:rPr>
                <w:rFonts w:ascii="Times New Roman" w:hAnsi="Times New Roman" w:hint="eastAsia"/>
                <w:bCs/>
                <w:szCs w:val="21"/>
              </w:rPr>
              <w:t>份</w:t>
            </w:r>
          </w:p>
        </w:tc>
      </w:tr>
      <w:tr w:rsidR="000715C0">
        <w:trPr>
          <w:gridAfter w:val="1"/>
          <w:wAfter w:w="15" w:type="dxa"/>
        </w:trPr>
        <w:tc>
          <w:tcPr>
            <w:tcW w:w="1739" w:type="dxa"/>
            <w:vAlign w:val="center"/>
          </w:tcPr>
          <w:p w:rsidR="000715C0" w:rsidRDefault="00CB504C">
            <w:pPr>
              <w:widowControl/>
              <w:spacing w:line="276" w:lineRule="auto"/>
              <w:jc w:val="center"/>
              <w:rPr>
                <w:rFonts w:ascii="Times New Roman" w:hAnsi="Times New Roman"/>
                <w:b/>
                <w:szCs w:val="21"/>
              </w:rPr>
            </w:pPr>
            <w:r>
              <w:rPr>
                <w:rFonts w:ascii="Times New Roman" w:hAnsi="Times New Roman" w:hint="eastAsia"/>
                <w:b/>
                <w:szCs w:val="21"/>
              </w:rPr>
              <w:t>理财产品费用</w:t>
            </w:r>
          </w:p>
        </w:tc>
        <w:tc>
          <w:tcPr>
            <w:tcW w:w="6213" w:type="dxa"/>
            <w:vAlign w:val="center"/>
          </w:tcPr>
          <w:p w:rsidR="000715C0" w:rsidRDefault="00CB504C">
            <w:pPr>
              <w:autoSpaceDE w:val="0"/>
              <w:autoSpaceDN w:val="0"/>
              <w:adjustRightInd w:val="0"/>
              <w:spacing w:line="276" w:lineRule="auto"/>
              <w:jc w:val="left"/>
              <w:rPr>
                <w:rFonts w:ascii="Times New Roman" w:hAnsi="Times New Roman"/>
                <w:b/>
                <w:szCs w:val="21"/>
              </w:rPr>
            </w:pPr>
            <w:r>
              <w:rPr>
                <w:rFonts w:ascii="Times New Roman" w:hAnsi="Times New Roman" w:hint="eastAsia"/>
                <w:b/>
                <w:szCs w:val="21"/>
              </w:rPr>
              <w:t>理财产品费用包含</w:t>
            </w:r>
            <w:r>
              <w:rPr>
                <w:rFonts w:ascii="Times New Roman" w:hAnsi="Times New Roman"/>
                <w:b/>
                <w:szCs w:val="21"/>
              </w:rPr>
              <w:t>销售服务费、</w:t>
            </w:r>
            <w:r>
              <w:rPr>
                <w:rFonts w:ascii="Times New Roman" w:hAnsi="Times New Roman" w:hint="eastAsia"/>
                <w:b/>
                <w:szCs w:val="21"/>
              </w:rPr>
              <w:t>固定管理费、托管费等相关费用，</w:t>
            </w:r>
            <w:r>
              <w:rPr>
                <w:rFonts w:ascii="Times New Roman" w:hAnsi="Times New Roman"/>
                <w:b/>
                <w:szCs w:val="21"/>
              </w:rPr>
              <w:t>各费用率均为年化数值</w:t>
            </w:r>
            <w:r>
              <w:rPr>
                <w:rFonts w:ascii="Times New Roman" w:hAnsi="Times New Roman" w:hint="eastAsia"/>
                <w:b/>
                <w:szCs w:val="21"/>
              </w:rPr>
              <w:t>。</w:t>
            </w:r>
          </w:p>
          <w:p w:rsidR="000715C0" w:rsidRDefault="00CB504C">
            <w:pPr>
              <w:autoSpaceDE w:val="0"/>
              <w:autoSpaceDN w:val="0"/>
              <w:adjustRightInd w:val="0"/>
              <w:spacing w:line="276" w:lineRule="auto"/>
              <w:jc w:val="left"/>
              <w:rPr>
                <w:rFonts w:ascii="Times New Roman" w:hAnsi="Times New Roman"/>
                <w:b/>
                <w:szCs w:val="21"/>
              </w:rPr>
            </w:pPr>
            <w:r>
              <w:rPr>
                <w:rFonts w:ascii="Times New Roman" w:hAnsi="Times New Roman" w:hint="eastAsia"/>
                <w:b/>
                <w:szCs w:val="21"/>
              </w:rPr>
              <w:t>1</w:t>
            </w:r>
            <w:r>
              <w:rPr>
                <w:rFonts w:ascii="Times New Roman" w:hAnsi="Times New Roman" w:hint="eastAsia"/>
                <w:b/>
                <w:szCs w:val="21"/>
              </w:rPr>
              <w:t>、</w:t>
            </w:r>
            <w:r>
              <w:rPr>
                <w:rFonts w:ascii="Times New Roman" w:hAnsi="Times New Roman"/>
                <w:b/>
                <w:szCs w:val="21"/>
              </w:rPr>
              <w:t>销</w:t>
            </w:r>
            <w:r>
              <w:rPr>
                <w:rFonts w:ascii="Times New Roman" w:hAnsi="Times New Roman" w:hint="eastAsia"/>
                <w:b/>
                <w:szCs w:val="21"/>
              </w:rPr>
              <w:t>售服务费率：</w:t>
            </w:r>
            <w:r>
              <w:rPr>
                <w:rFonts w:ascii="Times New Roman" w:hAnsi="Times New Roman" w:hint="eastAsia"/>
                <w:b/>
                <w:szCs w:val="21"/>
              </w:rPr>
              <w:t>A</w:t>
            </w:r>
            <w:r>
              <w:rPr>
                <w:rFonts w:ascii="Times New Roman" w:hAnsi="Times New Roman" w:hint="eastAsia"/>
                <w:b/>
                <w:szCs w:val="21"/>
              </w:rPr>
              <w:t>份额为</w:t>
            </w:r>
            <w:r>
              <w:rPr>
                <w:rFonts w:ascii="Times New Roman" w:hAnsi="Times New Roman" w:hint="eastAsia"/>
                <w:b/>
                <w:szCs w:val="21"/>
              </w:rPr>
              <w:t>0.30%</w:t>
            </w:r>
            <w:r>
              <w:rPr>
                <w:rFonts w:ascii="Times New Roman" w:hAnsi="Times New Roman" w:hint="eastAsia"/>
                <w:b/>
                <w:szCs w:val="21"/>
              </w:rPr>
              <w:t>；</w:t>
            </w:r>
            <w:r>
              <w:rPr>
                <w:rFonts w:ascii="Times New Roman" w:hAnsi="Times New Roman" w:hint="eastAsia"/>
                <w:b/>
                <w:szCs w:val="21"/>
              </w:rPr>
              <w:t>B</w:t>
            </w:r>
            <w:r>
              <w:rPr>
                <w:rFonts w:ascii="Times New Roman" w:hAnsi="Times New Roman" w:hint="eastAsia"/>
                <w:b/>
                <w:szCs w:val="21"/>
              </w:rPr>
              <w:t>份额为</w:t>
            </w:r>
            <w:r>
              <w:rPr>
                <w:rFonts w:ascii="Times New Roman" w:hAnsi="Times New Roman" w:hint="eastAsia"/>
                <w:b/>
                <w:szCs w:val="21"/>
              </w:rPr>
              <w:t>0.30%</w:t>
            </w:r>
            <w:r>
              <w:rPr>
                <w:rFonts w:ascii="Times New Roman" w:hAnsi="Times New Roman" w:hint="eastAsia"/>
                <w:b/>
                <w:szCs w:val="21"/>
              </w:rPr>
              <w:t>；</w:t>
            </w:r>
            <w:r>
              <w:rPr>
                <w:rFonts w:ascii="Times New Roman" w:hAnsi="Times New Roman" w:hint="eastAsia"/>
                <w:b/>
                <w:szCs w:val="21"/>
              </w:rPr>
              <w:t>C</w:t>
            </w:r>
            <w:r>
              <w:rPr>
                <w:rFonts w:ascii="Times New Roman" w:hAnsi="Times New Roman" w:hint="eastAsia"/>
                <w:b/>
                <w:szCs w:val="21"/>
              </w:rPr>
              <w:t>份额为</w:t>
            </w:r>
            <w:r>
              <w:rPr>
                <w:rFonts w:ascii="Times New Roman" w:hAnsi="Times New Roman" w:hint="eastAsia"/>
                <w:b/>
                <w:szCs w:val="21"/>
              </w:rPr>
              <w:lastRenderedPageBreak/>
              <w:t>0.30%</w:t>
            </w:r>
            <w:r>
              <w:rPr>
                <w:rFonts w:ascii="Times New Roman" w:hAnsi="Times New Roman" w:hint="eastAsia"/>
                <w:b/>
                <w:szCs w:val="21"/>
              </w:rPr>
              <w:t>；</w:t>
            </w:r>
            <w:r>
              <w:rPr>
                <w:rFonts w:ascii="Times New Roman" w:hAnsi="Times New Roman" w:hint="eastAsia"/>
                <w:b/>
                <w:szCs w:val="21"/>
              </w:rPr>
              <w:t>D</w:t>
            </w:r>
            <w:r>
              <w:rPr>
                <w:rFonts w:ascii="Times New Roman" w:hAnsi="Times New Roman" w:hint="eastAsia"/>
                <w:b/>
                <w:szCs w:val="21"/>
              </w:rPr>
              <w:t>份额为</w:t>
            </w:r>
            <w:r>
              <w:rPr>
                <w:rFonts w:ascii="Times New Roman" w:hAnsi="Times New Roman" w:hint="eastAsia"/>
                <w:b/>
                <w:szCs w:val="21"/>
              </w:rPr>
              <w:t>0.30%</w:t>
            </w:r>
            <w:r>
              <w:rPr>
                <w:rFonts w:ascii="Times New Roman" w:hAnsi="Times New Roman" w:hint="eastAsia"/>
                <w:b/>
                <w:szCs w:val="21"/>
              </w:rPr>
              <w:t>；</w:t>
            </w:r>
            <w:r>
              <w:rPr>
                <w:rFonts w:ascii="Times New Roman" w:hAnsi="Times New Roman" w:hint="eastAsia"/>
                <w:b/>
                <w:szCs w:val="21"/>
              </w:rPr>
              <w:t>E</w:t>
            </w:r>
            <w:r>
              <w:rPr>
                <w:rFonts w:ascii="Times New Roman" w:hAnsi="Times New Roman" w:hint="eastAsia"/>
                <w:b/>
                <w:szCs w:val="21"/>
              </w:rPr>
              <w:t>份额为</w:t>
            </w:r>
            <w:r>
              <w:rPr>
                <w:rFonts w:ascii="Times New Roman" w:hAnsi="Times New Roman" w:hint="eastAsia"/>
                <w:b/>
                <w:szCs w:val="21"/>
              </w:rPr>
              <w:t>0.40%</w:t>
            </w:r>
            <w:r>
              <w:rPr>
                <w:rFonts w:ascii="Times New Roman" w:hAnsi="Times New Roman" w:hint="eastAsia"/>
                <w:b/>
                <w:szCs w:val="21"/>
              </w:rPr>
              <w:t>；</w:t>
            </w:r>
            <w:r>
              <w:rPr>
                <w:rFonts w:ascii="Times New Roman" w:hAnsi="Times New Roman" w:hint="eastAsia"/>
                <w:b/>
                <w:szCs w:val="21"/>
              </w:rPr>
              <w:t>F</w:t>
            </w:r>
            <w:r>
              <w:rPr>
                <w:rFonts w:ascii="Times New Roman" w:hAnsi="Times New Roman" w:hint="eastAsia"/>
                <w:b/>
                <w:szCs w:val="21"/>
              </w:rPr>
              <w:t>份额为</w:t>
            </w:r>
            <w:r>
              <w:rPr>
                <w:rFonts w:ascii="Times New Roman" w:hAnsi="Times New Roman" w:hint="eastAsia"/>
                <w:b/>
                <w:szCs w:val="21"/>
              </w:rPr>
              <w:t>0.30%</w:t>
            </w:r>
            <w:r>
              <w:rPr>
                <w:rFonts w:ascii="Times New Roman" w:hAnsi="Times New Roman" w:hint="eastAsia"/>
                <w:b/>
                <w:szCs w:val="21"/>
              </w:rPr>
              <w:t>；</w:t>
            </w:r>
            <w:r>
              <w:rPr>
                <w:rFonts w:ascii="Times New Roman" w:hAnsi="Times New Roman" w:hint="eastAsia"/>
                <w:b/>
                <w:szCs w:val="21"/>
              </w:rPr>
              <w:t>G</w:t>
            </w:r>
            <w:r>
              <w:rPr>
                <w:rFonts w:ascii="Times New Roman" w:hAnsi="Times New Roman" w:hint="eastAsia"/>
                <w:b/>
                <w:szCs w:val="21"/>
              </w:rPr>
              <w:t>份额为</w:t>
            </w:r>
            <w:r>
              <w:rPr>
                <w:rFonts w:ascii="Times New Roman" w:hAnsi="Times New Roman" w:hint="eastAsia"/>
                <w:b/>
                <w:szCs w:val="21"/>
              </w:rPr>
              <w:t>0.</w:t>
            </w:r>
            <w:r>
              <w:rPr>
                <w:rFonts w:ascii="Times New Roman" w:hAnsi="Times New Roman" w:hint="eastAsia"/>
                <w:b/>
                <w:szCs w:val="21"/>
              </w:rPr>
              <w:t>3</w:t>
            </w:r>
            <w:r>
              <w:rPr>
                <w:rFonts w:ascii="Times New Roman" w:hAnsi="Times New Roman" w:hint="eastAsia"/>
                <w:b/>
                <w:szCs w:val="21"/>
              </w:rPr>
              <w:t>0%</w:t>
            </w:r>
            <w:r>
              <w:rPr>
                <w:rFonts w:ascii="Times New Roman" w:hAnsi="Times New Roman" w:hint="eastAsia"/>
                <w:b/>
                <w:szCs w:val="21"/>
              </w:rPr>
              <w:t>；</w:t>
            </w:r>
            <w:r>
              <w:rPr>
                <w:rFonts w:ascii="Times New Roman" w:hAnsi="Times New Roman"/>
                <w:b/>
                <w:szCs w:val="21"/>
              </w:rPr>
              <w:t>H</w:t>
            </w:r>
            <w:r>
              <w:rPr>
                <w:rFonts w:ascii="Times New Roman" w:hAnsi="Times New Roman" w:hint="eastAsia"/>
                <w:b/>
                <w:szCs w:val="21"/>
              </w:rPr>
              <w:t>份额为</w:t>
            </w:r>
            <w:r>
              <w:rPr>
                <w:rFonts w:ascii="Times New Roman" w:hAnsi="Times New Roman" w:hint="eastAsia"/>
                <w:b/>
                <w:szCs w:val="21"/>
              </w:rPr>
              <w:t>0.</w:t>
            </w:r>
            <w:r>
              <w:rPr>
                <w:rFonts w:ascii="Times New Roman" w:hAnsi="Times New Roman"/>
                <w:b/>
                <w:szCs w:val="21"/>
              </w:rPr>
              <w:t>3</w:t>
            </w:r>
            <w:r>
              <w:rPr>
                <w:rFonts w:ascii="Times New Roman" w:hAnsi="Times New Roman" w:hint="eastAsia"/>
                <w:b/>
                <w:szCs w:val="21"/>
              </w:rPr>
              <w:t>0%</w:t>
            </w:r>
            <w:r>
              <w:rPr>
                <w:rFonts w:ascii="Times New Roman" w:hAnsi="Times New Roman" w:hint="eastAsia"/>
                <w:b/>
                <w:szCs w:val="21"/>
              </w:rPr>
              <w:t>；</w:t>
            </w:r>
            <w:r>
              <w:rPr>
                <w:rFonts w:ascii="Times New Roman" w:hAnsi="Times New Roman" w:hint="eastAsia"/>
                <w:b/>
                <w:szCs w:val="21"/>
              </w:rPr>
              <w:t>I</w:t>
            </w:r>
            <w:r>
              <w:rPr>
                <w:rFonts w:ascii="Times New Roman" w:hAnsi="Times New Roman" w:hint="eastAsia"/>
                <w:b/>
                <w:szCs w:val="21"/>
              </w:rPr>
              <w:t>份额为</w:t>
            </w:r>
            <w:r>
              <w:rPr>
                <w:rFonts w:ascii="Times New Roman" w:hAnsi="Times New Roman" w:hint="eastAsia"/>
                <w:b/>
                <w:szCs w:val="21"/>
              </w:rPr>
              <w:t>0.</w:t>
            </w:r>
            <w:r>
              <w:rPr>
                <w:rFonts w:ascii="Times New Roman" w:hAnsi="Times New Roman"/>
                <w:b/>
                <w:szCs w:val="21"/>
              </w:rPr>
              <w:t>3</w:t>
            </w:r>
            <w:r>
              <w:rPr>
                <w:rFonts w:ascii="Times New Roman" w:hAnsi="Times New Roman" w:hint="eastAsia"/>
                <w:b/>
                <w:szCs w:val="21"/>
              </w:rPr>
              <w:t>0%</w:t>
            </w:r>
            <w:r>
              <w:rPr>
                <w:rFonts w:ascii="Times New Roman" w:hAnsi="Times New Roman" w:hint="eastAsia"/>
                <w:b/>
                <w:szCs w:val="21"/>
              </w:rPr>
              <w:t>；</w:t>
            </w:r>
          </w:p>
          <w:p w:rsidR="000715C0" w:rsidRDefault="00CB504C">
            <w:pPr>
              <w:autoSpaceDE w:val="0"/>
              <w:autoSpaceDN w:val="0"/>
              <w:adjustRightInd w:val="0"/>
              <w:spacing w:line="276" w:lineRule="auto"/>
              <w:jc w:val="left"/>
              <w:rPr>
                <w:rFonts w:ascii="Times New Roman" w:hAnsi="Times New Roman"/>
                <w:b/>
                <w:szCs w:val="21"/>
              </w:rPr>
            </w:pPr>
            <w:r>
              <w:rPr>
                <w:rFonts w:ascii="Times New Roman" w:hAnsi="Times New Roman" w:hint="eastAsia"/>
                <w:b/>
                <w:szCs w:val="21"/>
              </w:rPr>
              <w:t>2</w:t>
            </w:r>
            <w:r>
              <w:rPr>
                <w:rFonts w:ascii="Times New Roman" w:hAnsi="Times New Roman" w:hint="eastAsia"/>
                <w:b/>
                <w:szCs w:val="21"/>
              </w:rPr>
              <w:t>、固定管理费率：</w:t>
            </w:r>
            <w:r>
              <w:rPr>
                <w:rFonts w:ascii="Times New Roman" w:hAnsi="Times New Roman" w:hint="eastAsia"/>
                <w:b/>
                <w:szCs w:val="21"/>
              </w:rPr>
              <w:t>A</w:t>
            </w:r>
            <w:r>
              <w:rPr>
                <w:rFonts w:ascii="Times New Roman" w:hAnsi="Times New Roman" w:hint="eastAsia"/>
                <w:b/>
                <w:szCs w:val="21"/>
              </w:rPr>
              <w:t>份额为</w:t>
            </w:r>
            <w:r>
              <w:rPr>
                <w:rFonts w:ascii="Times New Roman" w:hAnsi="Times New Roman" w:hint="eastAsia"/>
                <w:b/>
                <w:szCs w:val="21"/>
              </w:rPr>
              <w:t>0.70%</w:t>
            </w:r>
            <w:r>
              <w:rPr>
                <w:rFonts w:ascii="Times New Roman" w:hAnsi="Times New Roman" w:hint="eastAsia"/>
                <w:b/>
                <w:szCs w:val="21"/>
              </w:rPr>
              <w:t>；</w:t>
            </w:r>
            <w:r>
              <w:rPr>
                <w:rFonts w:ascii="Times New Roman" w:hAnsi="Times New Roman" w:hint="eastAsia"/>
                <w:b/>
                <w:szCs w:val="21"/>
              </w:rPr>
              <w:t>B</w:t>
            </w:r>
            <w:r>
              <w:rPr>
                <w:rFonts w:ascii="Times New Roman" w:hAnsi="Times New Roman" w:hint="eastAsia"/>
                <w:b/>
                <w:szCs w:val="21"/>
              </w:rPr>
              <w:t>份额为</w:t>
            </w:r>
            <w:r>
              <w:rPr>
                <w:rFonts w:ascii="Times New Roman" w:hAnsi="Times New Roman" w:hint="eastAsia"/>
                <w:b/>
                <w:szCs w:val="21"/>
              </w:rPr>
              <w:t>0.70%</w:t>
            </w:r>
            <w:r>
              <w:rPr>
                <w:rFonts w:ascii="Times New Roman" w:hAnsi="Times New Roman" w:hint="eastAsia"/>
                <w:b/>
                <w:szCs w:val="21"/>
              </w:rPr>
              <w:t>；</w:t>
            </w:r>
            <w:r>
              <w:rPr>
                <w:rFonts w:ascii="Times New Roman" w:hAnsi="Times New Roman" w:hint="eastAsia"/>
                <w:b/>
                <w:szCs w:val="21"/>
              </w:rPr>
              <w:t>C</w:t>
            </w:r>
            <w:r>
              <w:rPr>
                <w:rFonts w:ascii="Times New Roman" w:hAnsi="Times New Roman" w:hint="eastAsia"/>
                <w:b/>
                <w:szCs w:val="21"/>
              </w:rPr>
              <w:t>份额为</w:t>
            </w:r>
            <w:r>
              <w:rPr>
                <w:rFonts w:ascii="Times New Roman" w:hAnsi="Times New Roman" w:hint="eastAsia"/>
                <w:b/>
                <w:szCs w:val="21"/>
              </w:rPr>
              <w:t>0.70%</w:t>
            </w:r>
            <w:r>
              <w:rPr>
                <w:rFonts w:ascii="Times New Roman" w:hAnsi="Times New Roman" w:hint="eastAsia"/>
                <w:b/>
                <w:szCs w:val="21"/>
              </w:rPr>
              <w:t>；</w:t>
            </w:r>
            <w:r>
              <w:rPr>
                <w:rFonts w:ascii="Times New Roman" w:hAnsi="Times New Roman" w:hint="eastAsia"/>
                <w:b/>
                <w:szCs w:val="21"/>
              </w:rPr>
              <w:t>D</w:t>
            </w:r>
            <w:r>
              <w:rPr>
                <w:rFonts w:ascii="Times New Roman" w:hAnsi="Times New Roman" w:hint="eastAsia"/>
                <w:b/>
                <w:szCs w:val="21"/>
              </w:rPr>
              <w:t>份额为</w:t>
            </w:r>
            <w:r>
              <w:rPr>
                <w:rFonts w:ascii="Times New Roman" w:hAnsi="Times New Roman" w:hint="eastAsia"/>
                <w:b/>
                <w:szCs w:val="21"/>
              </w:rPr>
              <w:t>0.70%</w:t>
            </w:r>
            <w:r>
              <w:rPr>
                <w:rFonts w:ascii="Times New Roman" w:hAnsi="Times New Roman" w:hint="eastAsia"/>
                <w:b/>
                <w:szCs w:val="21"/>
              </w:rPr>
              <w:t>；</w:t>
            </w:r>
            <w:r>
              <w:rPr>
                <w:rFonts w:ascii="Times New Roman" w:hAnsi="Times New Roman" w:hint="eastAsia"/>
                <w:b/>
                <w:szCs w:val="21"/>
              </w:rPr>
              <w:t>E</w:t>
            </w:r>
            <w:r>
              <w:rPr>
                <w:rFonts w:ascii="Times New Roman" w:hAnsi="Times New Roman" w:hint="eastAsia"/>
                <w:b/>
                <w:szCs w:val="21"/>
              </w:rPr>
              <w:t>份额为</w:t>
            </w:r>
            <w:r>
              <w:rPr>
                <w:rFonts w:ascii="Times New Roman" w:hAnsi="Times New Roman" w:hint="eastAsia"/>
                <w:b/>
                <w:szCs w:val="21"/>
              </w:rPr>
              <w:t>0.</w:t>
            </w:r>
            <w:r w:rsidR="009510C5">
              <w:rPr>
                <w:rFonts w:ascii="Times New Roman" w:hAnsi="Times New Roman"/>
                <w:b/>
                <w:szCs w:val="21"/>
              </w:rPr>
              <w:t>7</w:t>
            </w:r>
            <w:r>
              <w:rPr>
                <w:rFonts w:ascii="Times New Roman" w:hAnsi="Times New Roman" w:hint="eastAsia"/>
                <w:b/>
                <w:szCs w:val="21"/>
              </w:rPr>
              <w:t>0%</w:t>
            </w:r>
            <w:r>
              <w:rPr>
                <w:rFonts w:ascii="Times New Roman" w:hAnsi="Times New Roman" w:hint="eastAsia"/>
                <w:b/>
                <w:szCs w:val="21"/>
              </w:rPr>
              <w:t>；</w:t>
            </w:r>
            <w:r>
              <w:rPr>
                <w:rFonts w:ascii="Times New Roman" w:hAnsi="Times New Roman" w:hint="eastAsia"/>
                <w:b/>
                <w:szCs w:val="21"/>
              </w:rPr>
              <w:t>F</w:t>
            </w:r>
            <w:r>
              <w:rPr>
                <w:rFonts w:ascii="Times New Roman" w:hAnsi="Times New Roman" w:hint="eastAsia"/>
                <w:b/>
                <w:szCs w:val="21"/>
              </w:rPr>
              <w:t>份额为</w:t>
            </w:r>
            <w:r>
              <w:rPr>
                <w:rFonts w:ascii="Times New Roman" w:hAnsi="Times New Roman" w:hint="eastAsia"/>
                <w:b/>
                <w:szCs w:val="21"/>
              </w:rPr>
              <w:t>0.</w:t>
            </w:r>
            <w:r>
              <w:rPr>
                <w:rFonts w:ascii="Times New Roman" w:hAnsi="Times New Roman" w:hint="eastAsia"/>
                <w:b/>
                <w:szCs w:val="21"/>
              </w:rPr>
              <w:t>7</w:t>
            </w:r>
            <w:r>
              <w:rPr>
                <w:rFonts w:ascii="Times New Roman" w:hAnsi="Times New Roman" w:hint="eastAsia"/>
                <w:b/>
                <w:szCs w:val="21"/>
              </w:rPr>
              <w:t>0%</w:t>
            </w:r>
            <w:r>
              <w:rPr>
                <w:rFonts w:ascii="Times New Roman" w:hAnsi="Times New Roman" w:hint="eastAsia"/>
                <w:b/>
                <w:szCs w:val="21"/>
              </w:rPr>
              <w:t>；</w:t>
            </w:r>
            <w:r>
              <w:rPr>
                <w:rFonts w:ascii="Times New Roman" w:hAnsi="Times New Roman" w:hint="eastAsia"/>
                <w:b/>
                <w:szCs w:val="21"/>
              </w:rPr>
              <w:t>G</w:t>
            </w:r>
            <w:r>
              <w:rPr>
                <w:rFonts w:ascii="Times New Roman" w:hAnsi="Times New Roman" w:hint="eastAsia"/>
                <w:b/>
                <w:szCs w:val="21"/>
              </w:rPr>
              <w:t>份额为</w:t>
            </w:r>
            <w:r>
              <w:rPr>
                <w:rFonts w:ascii="Times New Roman" w:hAnsi="Times New Roman" w:hint="eastAsia"/>
                <w:b/>
                <w:szCs w:val="21"/>
              </w:rPr>
              <w:t>0.</w:t>
            </w:r>
            <w:r w:rsidR="009510C5">
              <w:rPr>
                <w:rFonts w:ascii="Times New Roman" w:hAnsi="Times New Roman"/>
                <w:b/>
                <w:szCs w:val="21"/>
              </w:rPr>
              <w:t>7</w:t>
            </w:r>
            <w:r>
              <w:rPr>
                <w:rFonts w:ascii="Times New Roman" w:hAnsi="Times New Roman" w:hint="eastAsia"/>
                <w:b/>
                <w:szCs w:val="21"/>
              </w:rPr>
              <w:t>0%</w:t>
            </w:r>
            <w:r>
              <w:rPr>
                <w:rFonts w:ascii="Times New Roman" w:hAnsi="Times New Roman" w:hint="eastAsia"/>
                <w:b/>
                <w:szCs w:val="21"/>
              </w:rPr>
              <w:t>；</w:t>
            </w:r>
            <w:r>
              <w:rPr>
                <w:rFonts w:ascii="Times New Roman" w:hAnsi="Times New Roman"/>
                <w:b/>
                <w:szCs w:val="21"/>
              </w:rPr>
              <w:t>H</w:t>
            </w:r>
            <w:r>
              <w:rPr>
                <w:rFonts w:ascii="Times New Roman" w:hAnsi="Times New Roman" w:hint="eastAsia"/>
                <w:b/>
                <w:szCs w:val="21"/>
              </w:rPr>
              <w:t>份额为</w:t>
            </w:r>
            <w:r>
              <w:rPr>
                <w:rFonts w:ascii="Times New Roman" w:hAnsi="Times New Roman" w:hint="eastAsia"/>
                <w:b/>
                <w:szCs w:val="21"/>
              </w:rPr>
              <w:t>0.</w:t>
            </w:r>
            <w:r w:rsidR="009510C5">
              <w:rPr>
                <w:rFonts w:ascii="Times New Roman" w:hAnsi="Times New Roman"/>
                <w:b/>
                <w:szCs w:val="21"/>
              </w:rPr>
              <w:t>7</w:t>
            </w:r>
            <w:r>
              <w:rPr>
                <w:rFonts w:ascii="Times New Roman" w:hAnsi="Times New Roman" w:hint="eastAsia"/>
                <w:b/>
                <w:szCs w:val="21"/>
              </w:rPr>
              <w:t>0%</w:t>
            </w:r>
            <w:r>
              <w:rPr>
                <w:rFonts w:ascii="Times New Roman" w:hAnsi="Times New Roman" w:hint="eastAsia"/>
                <w:b/>
                <w:szCs w:val="21"/>
              </w:rPr>
              <w:t>；</w:t>
            </w:r>
            <w:r>
              <w:rPr>
                <w:rFonts w:ascii="Times New Roman" w:hAnsi="Times New Roman" w:hint="eastAsia"/>
                <w:b/>
                <w:szCs w:val="21"/>
              </w:rPr>
              <w:t>I</w:t>
            </w:r>
            <w:r>
              <w:rPr>
                <w:rFonts w:ascii="Times New Roman" w:hAnsi="Times New Roman" w:hint="eastAsia"/>
                <w:b/>
                <w:szCs w:val="21"/>
              </w:rPr>
              <w:t>份额为</w:t>
            </w:r>
            <w:r>
              <w:rPr>
                <w:rFonts w:ascii="Times New Roman" w:hAnsi="Times New Roman" w:hint="eastAsia"/>
                <w:b/>
                <w:szCs w:val="21"/>
              </w:rPr>
              <w:t>0.</w:t>
            </w:r>
            <w:r>
              <w:rPr>
                <w:rFonts w:ascii="Times New Roman" w:hAnsi="Times New Roman" w:hint="eastAsia"/>
                <w:b/>
                <w:szCs w:val="21"/>
              </w:rPr>
              <w:t>7</w:t>
            </w:r>
            <w:r>
              <w:rPr>
                <w:rFonts w:ascii="Times New Roman" w:hAnsi="Times New Roman" w:hint="eastAsia"/>
                <w:b/>
                <w:szCs w:val="21"/>
              </w:rPr>
              <w:t>0%</w:t>
            </w:r>
            <w:r>
              <w:rPr>
                <w:rFonts w:ascii="Times New Roman" w:hAnsi="Times New Roman" w:hint="eastAsia"/>
                <w:b/>
                <w:szCs w:val="21"/>
              </w:rPr>
              <w:t>；</w:t>
            </w:r>
          </w:p>
          <w:p w:rsidR="000715C0" w:rsidRDefault="00CB504C">
            <w:pPr>
              <w:autoSpaceDE w:val="0"/>
              <w:autoSpaceDN w:val="0"/>
              <w:adjustRightInd w:val="0"/>
              <w:spacing w:line="276" w:lineRule="auto"/>
              <w:jc w:val="left"/>
              <w:rPr>
                <w:rFonts w:ascii="Times New Roman" w:hAnsi="Times New Roman"/>
                <w:b/>
                <w:szCs w:val="21"/>
              </w:rPr>
            </w:pPr>
            <w:r>
              <w:rPr>
                <w:rFonts w:ascii="Times New Roman" w:hAnsi="Times New Roman"/>
                <w:b/>
                <w:szCs w:val="21"/>
              </w:rPr>
              <w:t>3</w:t>
            </w:r>
            <w:r>
              <w:rPr>
                <w:rFonts w:ascii="Times New Roman" w:hAnsi="Times New Roman" w:hint="eastAsia"/>
                <w:b/>
                <w:szCs w:val="21"/>
              </w:rPr>
              <w:t>、托管费率为</w:t>
            </w:r>
            <w:r>
              <w:rPr>
                <w:rFonts w:ascii="Times New Roman" w:hAnsi="Times New Roman" w:hint="eastAsia"/>
                <w:b/>
                <w:szCs w:val="21"/>
              </w:rPr>
              <w:t>0</w:t>
            </w:r>
            <w:r>
              <w:rPr>
                <w:rFonts w:ascii="Times New Roman" w:hAnsi="Times New Roman"/>
                <w:b/>
                <w:szCs w:val="21"/>
              </w:rPr>
              <w:t>.007</w:t>
            </w:r>
            <w:r>
              <w:rPr>
                <w:rFonts w:ascii="Times New Roman" w:hAnsi="Times New Roman" w:hint="eastAsia"/>
                <w:b/>
                <w:szCs w:val="21"/>
              </w:rPr>
              <w:t>%</w:t>
            </w:r>
            <w:r>
              <w:rPr>
                <w:rFonts w:ascii="Times New Roman" w:hAnsi="Times New Roman" w:hint="eastAsia"/>
                <w:b/>
                <w:szCs w:val="21"/>
              </w:rPr>
              <w:t>；</w:t>
            </w:r>
          </w:p>
          <w:p w:rsidR="000715C0" w:rsidRDefault="00CB504C">
            <w:pPr>
              <w:autoSpaceDE w:val="0"/>
              <w:autoSpaceDN w:val="0"/>
              <w:adjustRightInd w:val="0"/>
              <w:spacing w:line="276" w:lineRule="auto"/>
              <w:jc w:val="left"/>
              <w:rPr>
                <w:rFonts w:ascii="Times New Roman" w:hAnsi="Times New Roman"/>
                <w:b/>
                <w:szCs w:val="21"/>
              </w:rPr>
            </w:pPr>
            <w:r>
              <w:rPr>
                <w:rFonts w:ascii="Times New Roman" w:hAnsi="Times New Roman"/>
                <w:b/>
                <w:szCs w:val="21"/>
              </w:rPr>
              <w:t>4</w:t>
            </w:r>
            <w:r>
              <w:rPr>
                <w:rFonts w:ascii="Times New Roman" w:hAnsi="Times New Roman" w:hint="eastAsia"/>
                <w:b/>
                <w:szCs w:val="21"/>
              </w:rPr>
              <w:t>、其他费用</w:t>
            </w:r>
            <w:r>
              <w:rPr>
                <w:rFonts w:ascii="Times New Roman" w:hAnsi="Times New Roman"/>
                <w:b/>
                <w:szCs w:val="21"/>
              </w:rPr>
              <w:t>。</w:t>
            </w:r>
          </w:p>
          <w:p w:rsidR="000715C0" w:rsidRDefault="00CB504C">
            <w:pPr>
              <w:autoSpaceDE w:val="0"/>
              <w:autoSpaceDN w:val="0"/>
              <w:adjustRightInd w:val="0"/>
              <w:spacing w:line="276" w:lineRule="auto"/>
              <w:jc w:val="left"/>
              <w:rPr>
                <w:rFonts w:ascii="Times New Roman" w:hAnsi="Times New Roman"/>
                <w:b/>
                <w:szCs w:val="21"/>
              </w:rPr>
            </w:pPr>
            <w:r>
              <w:rPr>
                <w:rFonts w:ascii="Times New Roman" w:hAnsi="Times New Roman" w:hint="eastAsia"/>
                <w:b/>
                <w:szCs w:val="21"/>
              </w:rPr>
              <w:t>详细内容见以下“产品费用”条款。</w:t>
            </w:r>
          </w:p>
        </w:tc>
      </w:tr>
      <w:tr w:rsidR="000715C0">
        <w:trPr>
          <w:gridAfter w:val="1"/>
          <w:wAfter w:w="15" w:type="dxa"/>
        </w:trPr>
        <w:tc>
          <w:tcPr>
            <w:tcW w:w="1739" w:type="dxa"/>
            <w:vAlign w:val="center"/>
          </w:tcPr>
          <w:p w:rsidR="000715C0" w:rsidRDefault="00CB504C">
            <w:pPr>
              <w:widowControl/>
              <w:spacing w:line="276" w:lineRule="auto"/>
              <w:jc w:val="center"/>
              <w:rPr>
                <w:rFonts w:ascii="Times New Roman" w:hAnsi="Times New Roman"/>
                <w:b/>
                <w:szCs w:val="21"/>
              </w:rPr>
            </w:pPr>
            <w:r>
              <w:rPr>
                <w:rFonts w:ascii="Times New Roman" w:hAnsi="Times New Roman" w:hint="eastAsia"/>
                <w:b/>
                <w:szCs w:val="21"/>
              </w:rPr>
              <w:lastRenderedPageBreak/>
              <w:t>认购费率</w:t>
            </w:r>
          </w:p>
        </w:tc>
        <w:tc>
          <w:tcPr>
            <w:tcW w:w="6213" w:type="dxa"/>
            <w:vAlign w:val="center"/>
          </w:tcPr>
          <w:p w:rsidR="000715C0" w:rsidRDefault="00CB504C">
            <w:pPr>
              <w:spacing w:line="276" w:lineRule="auto"/>
              <w:ind w:rightChars="-51" w:right="-107"/>
              <w:rPr>
                <w:rFonts w:ascii="Times New Roman" w:hAnsi="Times New Roman"/>
                <w:b/>
                <w:szCs w:val="21"/>
              </w:rPr>
            </w:pPr>
            <w:r>
              <w:rPr>
                <w:rFonts w:ascii="Times New Roman" w:hAnsi="Times New Roman"/>
                <w:b/>
                <w:szCs w:val="21"/>
              </w:rPr>
              <w:t>0</w:t>
            </w:r>
            <w:r>
              <w:rPr>
                <w:rFonts w:ascii="Times New Roman" w:hAnsi="Times New Roman" w:hint="eastAsia"/>
                <w:b/>
                <w:szCs w:val="21"/>
              </w:rPr>
              <w:t>％</w:t>
            </w:r>
          </w:p>
        </w:tc>
      </w:tr>
      <w:tr w:rsidR="000715C0">
        <w:trPr>
          <w:gridAfter w:val="1"/>
          <w:wAfter w:w="15" w:type="dxa"/>
        </w:trPr>
        <w:tc>
          <w:tcPr>
            <w:tcW w:w="1739" w:type="dxa"/>
            <w:vAlign w:val="center"/>
          </w:tcPr>
          <w:p w:rsidR="000715C0" w:rsidRDefault="00CB504C">
            <w:pPr>
              <w:widowControl/>
              <w:spacing w:line="276" w:lineRule="auto"/>
              <w:jc w:val="center"/>
              <w:rPr>
                <w:rFonts w:ascii="Times New Roman" w:hAnsi="Times New Roman"/>
                <w:b/>
                <w:szCs w:val="21"/>
              </w:rPr>
            </w:pPr>
            <w:r>
              <w:rPr>
                <w:rFonts w:ascii="Times New Roman" w:hAnsi="Times New Roman" w:hint="eastAsia"/>
                <w:b/>
                <w:szCs w:val="21"/>
              </w:rPr>
              <w:t>申购费率</w:t>
            </w:r>
          </w:p>
        </w:tc>
        <w:tc>
          <w:tcPr>
            <w:tcW w:w="6213" w:type="dxa"/>
            <w:vAlign w:val="center"/>
          </w:tcPr>
          <w:p w:rsidR="000715C0" w:rsidRDefault="00CB504C">
            <w:pPr>
              <w:spacing w:line="276" w:lineRule="auto"/>
              <w:ind w:rightChars="-51" w:right="-107"/>
              <w:rPr>
                <w:rFonts w:ascii="Times New Roman" w:hAnsi="Times New Roman"/>
                <w:b/>
                <w:szCs w:val="21"/>
              </w:rPr>
            </w:pPr>
            <w:r>
              <w:rPr>
                <w:rFonts w:ascii="Times New Roman" w:hAnsi="Times New Roman"/>
                <w:b/>
                <w:szCs w:val="21"/>
              </w:rPr>
              <w:t>0</w:t>
            </w:r>
            <w:r>
              <w:rPr>
                <w:rFonts w:ascii="Times New Roman" w:hAnsi="Times New Roman" w:hint="eastAsia"/>
                <w:b/>
                <w:szCs w:val="21"/>
              </w:rPr>
              <w:t>％</w:t>
            </w:r>
          </w:p>
        </w:tc>
      </w:tr>
      <w:tr w:rsidR="000715C0">
        <w:trPr>
          <w:gridAfter w:val="1"/>
          <w:wAfter w:w="15" w:type="dxa"/>
        </w:trPr>
        <w:tc>
          <w:tcPr>
            <w:tcW w:w="1739" w:type="dxa"/>
            <w:vAlign w:val="center"/>
          </w:tcPr>
          <w:p w:rsidR="000715C0" w:rsidRDefault="00CB504C">
            <w:pPr>
              <w:widowControl/>
              <w:spacing w:line="276" w:lineRule="auto"/>
              <w:jc w:val="center"/>
              <w:rPr>
                <w:rFonts w:ascii="Times New Roman" w:hAnsi="Times New Roman"/>
                <w:b/>
                <w:szCs w:val="21"/>
              </w:rPr>
            </w:pPr>
            <w:r>
              <w:rPr>
                <w:rFonts w:ascii="Times New Roman" w:hAnsi="Times New Roman" w:hint="eastAsia"/>
                <w:b/>
                <w:szCs w:val="21"/>
              </w:rPr>
              <w:t>赎回费率</w:t>
            </w:r>
          </w:p>
        </w:tc>
        <w:tc>
          <w:tcPr>
            <w:tcW w:w="6213" w:type="dxa"/>
            <w:vAlign w:val="center"/>
          </w:tcPr>
          <w:p w:rsidR="000715C0" w:rsidRDefault="00CB504C">
            <w:pPr>
              <w:spacing w:line="276" w:lineRule="auto"/>
              <w:ind w:rightChars="-51" w:right="-107"/>
              <w:rPr>
                <w:rFonts w:ascii="Times New Roman" w:hAnsi="Times New Roman"/>
                <w:b/>
                <w:szCs w:val="21"/>
              </w:rPr>
            </w:pPr>
            <w:r>
              <w:rPr>
                <w:rFonts w:ascii="Times New Roman" w:hAnsi="Times New Roman"/>
                <w:b/>
                <w:szCs w:val="21"/>
              </w:rPr>
              <w:t>0</w:t>
            </w:r>
            <w:r>
              <w:rPr>
                <w:rFonts w:ascii="Times New Roman" w:hAnsi="Times New Roman" w:hint="eastAsia"/>
                <w:b/>
                <w:szCs w:val="21"/>
              </w:rPr>
              <w:t>％</w:t>
            </w:r>
          </w:p>
        </w:tc>
      </w:tr>
      <w:tr w:rsidR="000715C0">
        <w:trPr>
          <w:gridAfter w:val="1"/>
          <w:wAfter w:w="15" w:type="dxa"/>
        </w:trPr>
        <w:tc>
          <w:tcPr>
            <w:tcW w:w="1739" w:type="dxa"/>
            <w:vAlign w:val="center"/>
          </w:tcPr>
          <w:p w:rsidR="000715C0" w:rsidRDefault="00CB504C">
            <w:pPr>
              <w:widowControl/>
              <w:spacing w:line="276" w:lineRule="auto"/>
              <w:jc w:val="center"/>
              <w:rPr>
                <w:rFonts w:ascii="Times New Roman" w:hAnsi="Times New Roman"/>
                <w:bCs/>
                <w:szCs w:val="21"/>
              </w:rPr>
            </w:pPr>
            <w:r>
              <w:t>同一日单个投资者累计赎回上限</w:t>
            </w:r>
          </w:p>
        </w:tc>
        <w:tc>
          <w:tcPr>
            <w:tcW w:w="6213" w:type="dxa"/>
          </w:tcPr>
          <w:p w:rsidR="000715C0" w:rsidRDefault="00CB504C">
            <w:pPr>
              <w:spacing w:line="276" w:lineRule="auto"/>
              <w:rPr>
                <w:rFonts w:ascii="Times New Roman" w:hAnsi="Times New Roman"/>
                <w:bCs/>
                <w:szCs w:val="21"/>
              </w:rPr>
            </w:pPr>
            <w:r>
              <w:t>同一日单个投资者累计赎回上限</w:t>
            </w:r>
            <w:r>
              <w:t>1000</w:t>
            </w:r>
            <w:r>
              <w:t>万元。如需超过同一日单个投资者累计赎回上限限制须向渝农商理财有限责任公司提交申请，渝农商理财有限责任公司可视流动性情况接受或拒绝该申请。</w:t>
            </w:r>
          </w:p>
        </w:tc>
      </w:tr>
      <w:tr w:rsidR="000715C0">
        <w:trPr>
          <w:gridAfter w:val="1"/>
          <w:wAfter w:w="15" w:type="dxa"/>
        </w:trPr>
        <w:tc>
          <w:tcPr>
            <w:tcW w:w="1739" w:type="dxa"/>
            <w:vAlign w:val="center"/>
          </w:tcPr>
          <w:p w:rsidR="000715C0" w:rsidRDefault="00CB504C">
            <w:pPr>
              <w:widowControl/>
              <w:spacing w:line="276" w:lineRule="auto"/>
              <w:jc w:val="center"/>
              <w:rPr>
                <w:rFonts w:ascii="Times New Roman" w:hAnsi="Times New Roman"/>
                <w:bCs/>
                <w:szCs w:val="21"/>
              </w:rPr>
            </w:pPr>
            <w:r>
              <w:rPr>
                <w:rFonts w:ascii="Times New Roman" w:hAnsi="Times New Roman"/>
                <w:bCs/>
                <w:szCs w:val="21"/>
              </w:rPr>
              <w:t>认购</w:t>
            </w:r>
            <w:r>
              <w:rPr>
                <w:rFonts w:ascii="Times New Roman" w:hAnsi="Times New Roman" w:hint="eastAsia"/>
                <w:bCs/>
                <w:szCs w:val="21"/>
              </w:rPr>
              <w:t>、</w:t>
            </w:r>
            <w:r>
              <w:rPr>
                <w:rFonts w:ascii="Times New Roman" w:hAnsi="Times New Roman"/>
                <w:bCs/>
                <w:szCs w:val="21"/>
              </w:rPr>
              <w:t>申购</w:t>
            </w:r>
            <w:r>
              <w:rPr>
                <w:rFonts w:ascii="Times New Roman" w:hAnsi="Times New Roman" w:hint="eastAsia"/>
                <w:bCs/>
                <w:szCs w:val="21"/>
              </w:rPr>
              <w:t>起点金额</w:t>
            </w:r>
          </w:p>
        </w:tc>
        <w:tc>
          <w:tcPr>
            <w:tcW w:w="6213" w:type="dxa"/>
          </w:tcPr>
          <w:p w:rsidR="000715C0" w:rsidRDefault="00CB504C">
            <w:r>
              <w:t>A</w:t>
            </w:r>
            <w:r>
              <w:rPr>
                <w:rFonts w:hint="eastAsia"/>
              </w:rPr>
              <w:t>份额认购</w:t>
            </w:r>
            <w:r>
              <w:rPr>
                <w:rFonts w:hint="eastAsia"/>
              </w:rPr>
              <w:t>及申购</w:t>
            </w:r>
            <w:r>
              <w:rPr>
                <w:rFonts w:hint="eastAsia"/>
              </w:rPr>
              <w:t>起点金额为</w:t>
            </w:r>
            <w:r>
              <w:t>1</w:t>
            </w:r>
            <w:r>
              <w:rPr>
                <w:rFonts w:hint="eastAsia"/>
              </w:rPr>
              <w:t>元，高于起点金额部分以</w:t>
            </w:r>
            <w:r>
              <w:t>1</w:t>
            </w:r>
            <w:r>
              <w:rPr>
                <w:rFonts w:hint="eastAsia"/>
              </w:rPr>
              <w:t>元的整数倍递增。对于已</w:t>
            </w:r>
            <w:r>
              <w:rPr>
                <w:rFonts w:hint="eastAsia"/>
              </w:rPr>
              <w:t>持有</w:t>
            </w:r>
            <w:r>
              <w:t>A</w:t>
            </w:r>
            <w:r>
              <w:rPr>
                <w:rFonts w:hint="eastAsia"/>
              </w:rPr>
              <w:t>份额的投资者，</w:t>
            </w:r>
            <w:r>
              <w:rPr>
                <w:rFonts w:hint="eastAsia"/>
              </w:rPr>
              <w:t>申</w:t>
            </w:r>
            <w:r>
              <w:rPr>
                <w:rFonts w:hint="eastAsia"/>
              </w:rPr>
              <w:t>购金额以</w:t>
            </w:r>
            <w:r>
              <w:t>1</w:t>
            </w:r>
            <w:r>
              <w:rPr>
                <w:rFonts w:hint="eastAsia"/>
              </w:rPr>
              <w:t>元的整数倍递增。</w:t>
            </w:r>
          </w:p>
          <w:p w:rsidR="000715C0" w:rsidRDefault="00CB504C">
            <w:r>
              <w:t>B</w:t>
            </w:r>
            <w:r>
              <w:rPr>
                <w:rFonts w:hint="eastAsia"/>
              </w:rPr>
              <w:t>份额认购</w:t>
            </w:r>
            <w:r>
              <w:rPr>
                <w:rFonts w:hint="eastAsia"/>
              </w:rPr>
              <w:t>及申购</w:t>
            </w:r>
            <w:r>
              <w:rPr>
                <w:rFonts w:hint="eastAsia"/>
              </w:rPr>
              <w:t>起点金额为</w:t>
            </w:r>
            <w:r>
              <w:t>1</w:t>
            </w:r>
            <w:r>
              <w:rPr>
                <w:rFonts w:hint="eastAsia"/>
              </w:rPr>
              <w:t>元，高于起点金额部分以</w:t>
            </w:r>
            <w:r>
              <w:t>1</w:t>
            </w:r>
            <w:r>
              <w:rPr>
                <w:rFonts w:hint="eastAsia"/>
              </w:rPr>
              <w:t>元的整数倍递增。对于已</w:t>
            </w:r>
            <w:r>
              <w:rPr>
                <w:rFonts w:hint="eastAsia"/>
              </w:rPr>
              <w:t>持有</w:t>
            </w:r>
            <w:r>
              <w:t>B</w:t>
            </w:r>
            <w:r>
              <w:rPr>
                <w:rFonts w:hint="eastAsia"/>
              </w:rPr>
              <w:t>份额的投资者，</w:t>
            </w:r>
            <w:r>
              <w:rPr>
                <w:rFonts w:hint="eastAsia"/>
              </w:rPr>
              <w:t>申</w:t>
            </w:r>
            <w:r>
              <w:rPr>
                <w:rFonts w:hint="eastAsia"/>
              </w:rPr>
              <w:t>购金额以</w:t>
            </w:r>
            <w:r>
              <w:t>1</w:t>
            </w:r>
            <w:r>
              <w:rPr>
                <w:rFonts w:hint="eastAsia"/>
              </w:rPr>
              <w:t>元的整数倍递增。</w:t>
            </w:r>
          </w:p>
          <w:p w:rsidR="000715C0" w:rsidRDefault="00CB504C">
            <w:r>
              <w:t>C</w:t>
            </w:r>
            <w:r>
              <w:rPr>
                <w:rFonts w:hint="eastAsia"/>
              </w:rPr>
              <w:t>份额认购</w:t>
            </w:r>
            <w:r>
              <w:rPr>
                <w:rFonts w:hint="eastAsia"/>
              </w:rPr>
              <w:t>及申购</w:t>
            </w:r>
            <w:r>
              <w:rPr>
                <w:rFonts w:hint="eastAsia"/>
              </w:rPr>
              <w:t>起点金额为</w:t>
            </w:r>
            <w:r>
              <w:t>1</w:t>
            </w:r>
            <w:r>
              <w:rPr>
                <w:rFonts w:hint="eastAsia"/>
              </w:rPr>
              <w:t>元，高于起点金额部分以</w:t>
            </w:r>
            <w:r>
              <w:t>1</w:t>
            </w:r>
            <w:r>
              <w:rPr>
                <w:rFonts w:hint="eastAsia"/>
              </w:rPr>
              <w:t>元的整数倍递增。对于已</w:t>
            </w:r>
            <w:r>
              <w:rPr>
                <w:rFonts w:hint="eastAsia"/>
              </w:rPr>
              <w:t>持有</w:t>
            </w:r>
            <w:r>
              <w:t>C</w:t>
            </w:r>
            <w:r>
              <w:rPr>
                <w:rFonts w:hint="eastAsia"/>
              </w:rPr>
              <w:t>份额的投资者，</w:t>
            </w:r>
            <w:r>
              <w:rPr>
                <w:rFonts w:hint="eastAsia"/>
              </w:rPr>
              <w:t>申</w:t>
            </w:r>
            <w:r>
              <w:rPr>
                <w:rFonts w:hint="eastAsia"/>
              </w:rPr>
              <w:t>购金额以</w:t>
            </w:r>
            <w:r>
              <w:t>1</w:t>
            </w:r>
            <w:r>
              <w:rPr>
                <w:rFonts w:hint="eastAsia"/>
              </w:rPr>
              <w:t>元的整数倍递增。</w:t>
            </w:r>
          </w:p>
          <w:p w:rsidR="000715C0" w:rsidRDefault="00CB504C">
            <w:r>
              <w:rPr>
                <w:rFonts w:hint="eastAsia"/>
              </w:rPr>
              <w:t>D</w:t>
            </w:r>
            <w:r>
              <w:rPr>
                <w:rFonts w:hint="eastAsia"/>
              </w:rPr>
              <w:t>份额认购</w:t>
            </w:r>
            <w:r>
              <w:rPr>
                <w:rFonts w:hint="eastAsia"/>
              </w:rPr>
              <w:t>及申购</w:t>
            </w:r>
            <w:r>
              <w:rPr>
                <w:rFonts w:hint="eastAsia"/>
              </w:rPr>
              <w:t>起点金额为</w:t>
            </w:r>
            <w:r>
              <w:t>1</w:t>
            </w:r>
            <w:r>
              <w:rPr>
                <w:rFonts w:hint="eastAsia"/>
              </w:rPr>
              <w:t>元，高于起点金额部分以</w:t>
            </w:r>
            <w:r>
              <w:t>1</w:t>
            </w:r>
            <w:r>
              <w:rPr>
                <w:rFonts w:hint="eastAsia"/>
              </w:rPr>
              <w:t>元的整数倍递增。对于已</w:t>
            </w:r>
            <w:r>
              <w:rPr>
                <w:rFonts w:hint="eastAsia"/>
              </w:rPr>
              <w:t>持有</w:t>
            </w:r>
            <w:r>
              <w:rPr>
                <w:rFonts w:hint="eastAsia"/>
              </w:rPr>
              <w:t>D</w:t>
            </w:r>
            <w:r>
              <w:rPr>
                <w:rFonts w:hint="eastAsia"/>
              </w:rPr>
              <w:t>份额的投资者，</w:t>
            </w:r>
            <w:r>
              <w:rPr>
                <w:rFonts w:hint="eastAsia"/>
              </w:rPr>
              <w:t>申</w:t>
            </w:r>
            <w:r>
              <w:rPr>
                <w:rFonts w:hint="eastAsia"/>
              </w:rPr>
              <w:t>购金额以</w:t>
            </w:r>
            <w:r>
              <w:t>1</w:t>
            </w:r>
            <w:r>
              <w:rPr>
                <w:rFonts w:hint="eastAsia"/>
              </w:rPr>
              <w:t>元的整数倍递增。</w:t>
            </w:r>
          </w:p>
          <w:p w:rsidR="000715C0" w:rsidRDefault="00CB504C">
            <w:r>
              <w:t>E</w:t>
            </w:r>
            <w:r>
              <w:rPr>
                <w:rFonts w:hint="eastAsia"/>
              </w:rPr>
              <w:t>份额认购</w:t>
            </w:r>
            <w:r>
              <w:rPr>
                <w:rFonts w:hint="eastAsia"/>
              </w:rPr>
              <w:t>及申购</w:t>
            </w:r>
            <w:r>
              <w:rPr>
                <w:rFonts w:hint="eastAsia"/>
              </w:rPr>
              <w:t>起点金额为</w:t>
            </w:r>
            <w:r>
              <w:t>1</w:t>
            </w:r>
            <w:r>
              <w:rPr>
                <w:rFonts w:hint="eastAsia"/>
              </w:rPr>
              <w:t>元，高于起点金额部分以</w:t>
            </w:r>
            <w:r>
              <w:t>1</w:t>
            </w:r>
            <w:r>
              <w:rPr>
                <w:rFonts w:hint="eastAsia"/>
              </w:rPr>
              <w:t>元的整数倍递增。对于已</w:t>
            </w:r>
            <w:r>
              <w:rPr>
                <w:rFonts w:hint="eastAsia"/>
              </w:rPr>
              <w:t>持有</w:t>
            </w:r>
            <w:r>
              <w:t>E</w:t>
            </w:r>
            <w:r>
              <w:rPr>
                <w:rFonts w:hint="eastAsia"/>
              </w:rPr>
              <w:t>份额的投资者，</w:t>
            </w:r>
            <w:r>
              <w:rPr>
                <w:rFonts w:hint="eastAsia"/>
              </w:rPr>
              <w:t>申</w:t>
            </w:r>
            <w:r>
              <w:rPr>
                <w:rFonts w:hint="eastAsia"/>
              </w:rPr>
              <w:t>购金额以</w:t>
            </w:r>
            <w:r>
              <w:t>1</w:t>
            </w:r>
            <w:r>
              <w:rPr>
                <w:rFonts w:hint="eastAsia"/>
              </w:rPr>
              <w:t>元的整数倍递增。</w:t>
            </w:r>
          </w:p>
          <w:p w:rsidR="000715C0" w:rsidRDefault="00CB504C">
            <w:r>
              <w:rPr>
                <w:rFonts w:hint="eastAsia"/>
              </w:rPr>
              <w:t>F</w:t>
            </w:r>
            <w:r>
              <w:rPr>
                <w:rFonts w:hint="eastAsia"/>
              </w:rPr>
              <w:t>份额认购</w:t>
            </w:r>
            <w:r>
              <w:rPr>
                <w:rFonts w:hint="eastAsia"/>
              </w:rPr>
              <w:t>及申购</w:t>
            </w:r>
            <w:r>
              <w:rPr>
                <w:rFonts w:hint="eastAsia"/>
              </w:rPr>
              <w:t>起点金额为</w:t>
            </w:r>
            <w:r>
              <w:t>1</w:t>
            </w:r>
            <w:r>
              <w:rPr>
                <w:rFonts w:hint="eastAsia"/>
              </w:rPr>
              <w:t>元，高于起点金额部分以</w:t>
            </w:r>
            <w:r>
              <w:t>1</w:t>
            </w:r>
            <w:r>
              <w:rPr>
                <w:rFonts w:hint="eastAsia"/>
              </w:rPr>
              <w:t>元的整数倍递增。对于已</w:t>
            </w:r>
            <w:r>
              <w:rPr>
                <w:rFonts w:hint="eastAsia"/>
              </w:rPr>
              <w:t>持有</w:t>
            </w:r>
            <w:r>
              <w:rPr>
                <w:rFonts w:hint="eastAsia"/>
              </w:rPr>
              <w:t>F</w:t>
            </w:r>
            <w:r>
              <w:rPr>
                <w:rFonts w:hint="eastAsia"/>
              </w:rPr>
              <w:t>份额的投资者，</w:t>
            </w:r>
            <w:r>
              <w:rPr>
                <w:rFonts w:hint="eastAsia"/>
              </w:rPr>
              <w:t>申</w:t>
            </w:r>
            <w:r>
              <w:rPr>
                <w:rFonts w:hint="eastAsia"/>
              </w:rPr>
              <w:t>购金额以</w:t>
            </w:r>
            <w:r>
              <w:t>1</w:t>
            </w:r>
            <w:r>
              <w:rPr>
                <w:rFonts w:hint="eastAsia"/>
              </w:rPr>
              <w:t>元的整数倍递增。</w:t>
            </w:r>
          </w:p>
          <w:p w:rsidR="000715C0" w:rsidRDefault="00CB504C">
            <w:r>
              <w:rPr>
                <w:rFonts w:hint="eastAsia"/>
              </w:rPr>
              <w:t>G</w:t>
            </w:r>
            <w:r>
              <w:rPr>
                <w:rFonts w:hint="eastAsia"/>
              </w:rPr>
              <w:t>份额认购</w:t>
            </w:r>
            <w:r>
              <w:rPr>
                <w:rFonts w:hint="eastAsia"/>
              </w:rPr>
              <w:t>及申购</w:t>
            </w:r>
            <w:r>
              <w:rPr>
                <w:rFonts w:hint="eastAsia"/>
              </w:rPr>
              <w:t>起点金额为</w:t>
            </w:r>
            <w:r>
              <w:t>1</w:t>
            </w:r>
            <w:r>
              <w:rPr>
                <w:rFonts w:hint="eastAsia"/>
              </w:rPr>
              <w:t>元，</w:t>
            </w:r>
            <w:r>
              <w:rPr>
                <w:rFonts w:hint="eastAsia"/>
              </w:rPr>
              <w:t>高于起点金额部分以</w:t>
            </w:r>
            <w:r>
              <w:t>1</w:t>
            </w:r>
            <w:r>
              <w:rPr>
                <w:rFonts w:hint="eastAsia"/>
              </w:rPr>
              <w:t>元的整数倍递增。对于已</w:t>
            </w:r>
            <w:r>
              <w:rPr>
                <w:rFonts w:hint="eastAsia"/>
              </w:rPr>
              <w:t>持有</w:t>
            </w:r>
            <w:r>
              <w:rPr>
                <w:rFonts w:hint="eastAsia"/>
              </w:rPr>
              <w:t>G</w:t>
            </w:r>
            <w:r>
              <w:rPr>
                <w:rFonts w:hint="eastAsia"/>
              </w:rPr>
              <w:t>份额的投资者，</w:t>
            </w:r>
            <w:r>
              <w:rPr>
                <w:rFonts w:hint="eastAsia"/>
              </w:rPr>
              <w:t>申</w:t>
            </w:r>
            <w:r>
              <w:rPr>
                <w:rFonts w:hint="eastAsia"/>
              </w:rPr>
              <w:t>购金额以</w:t>
            </w:r>
            <w:r>
              <w:t>1</w:t>
            </w:r>
            <w:r>
              <w:rPr>
                <w:rFonts w:hint="eastAsia"/>
              </w:rPr>
              <w:t>元的整数倍递增。</w:t>
            </w:r>
          </w:p>
          <w:p w:rsidR="000715C0" w:rsidRDefault="00CB504C">
            <w:r>
              <w:t>H</w:t>
            </w:r>
            <w:r>
              <w:rPr>
                <w:rFonts w:hint="eastAsia"/>
              </w:rPr>
              <w:t>份额认购</w:t>
            </w:r>
            <w:r>
              <w:rPr>
                <w:rFonts w:hint="eastAsia"/>
              </w:rPr>
              <w:t>及申购</w:t>
            </w:r>
            <w:r>
              <w:rPr>
                <w:rFonts w:hint="eastAsia"/>
              </w:rPr>
              <w:t>起点金额为</w:t>
            </w:r>
            <w:r>
              <w:t>1</w:t>
            </w:r>
            <w:r>
              <w:rPr>
                <w:rFonts w:hint="eastAsia"/>
              </w:rPr>
              <w:t>元，高于起点金额部分以</w:t>
            </w:r>
            <w:r>
              <w:t>1</w:t>
            </w:r>
            <w:r>
              <w:rPr>
                <w:rFonts w:hint="eastAsia"/>
              </w:rPr>
              <w:t>元的整数倍递增。对于已</w:t>
            </w:r>
            <w:r>
              <w:rPr>
                <w:rFonts w:hint="eastAsia"/>
              </w:rPr>
              <w:t>持有</w:t>
            </w:r>
            <w:r>
              <w:t>H</w:t>
            </w:r>
            <w:r>
              <w:rPr>
                <w:rFonts w:hint="eastAsia"/>
              </w:rPr>
              <w:t>份额的投资者，</w:t>
            </w:r>
            <w:r>
              <w:rPr>
                <w:rFonts w:hint="eastAsia"/>
              </w:rPr>
              <w:t>申</w:t>
            </w:r>
            <w:r>
              <w:rPr>
                <w:rFonts w:hint="eastAsia"/>
              </w:rPr>
              <w:t>购金额以</w:t>
            </w:r>
            <w:r>
              <w:t>1</w:t>
            </w:r>
            <w:r>
              <w:rPr>
                <w:rFonts w:hint="eastAsia"/>
              </w:rPr>
              <w:t>元的整数倍递增。</w:t>
            </w:r>
          </w:p>
          <w:p w:rsidR="000715C0" w:rsidRDefault="00CB504C">
            <w:r>
              <w:rPr>
                <w:rFonts w:hint="eastAsia"/>
              </w:rPr>
              <w:t>I</w:t>
            </w:r>
            <w:r>
              <w:rPr>
                <w:rFonts w:hint="eastAsia"/>
              </w:rPr>
              <w:t>份额认购</w:t>
            </w:r>
            <w:r>
              <w:rPr>
                <w:rFonts w:hint="eastAsia"/>
              </w:rPr>
              <w:t>及申购</w:t>
            </w:r>
            <w:r>
              <w:rPr>
                <w:rFonts w:hint="eastAsia"/>
              </w:rPr>
              <w:t>起点金额为</w:t>
            </w:r>
            <w:r>
              <w:t>1</w:t>
            </w:r>
            <w:r>
              <w:rPr>
                <w:rFonts w:hint="eastAsia"/>
              </w:rPr>
              <w:t>元，高于起点金额部分以</w:t>
            </w:r>
            <w:r>
              <w:t>1</w:t>
            </w:r>
            <w:r>
              <w:rPr>
                <w:rFonts w:hint="eastAsia"/>
              </w:rPr>
              <w:t>元的整数倍递增。对于已</w:t>
            </w:r>
            <w:r>
              <w:rPr>
                <w:rFonts w:hint="eastAsia"/>
              </w:rPr>
              <w:t>持有</w:t>
            </w:r>
            <w:r>
              <w:rPr>
                <w:rFonts w:hint="eastAsia"/>
              </w:rPr>
              <w:t>I</w:t>
            </w:r>
            <w:r>
              <w:rPr>
                <w:rFonts w:hint="eastAsia"/>
              </w:rPr>
              <w:t>份额的投资者，</w:t>
            </w:r>
            <w:r>
              <w:rPr>
                <w:rFonts w:hint="eastAsia"/>
              </w:rPr>
              <w:t>申</w:t>
            </w:r>
            <w:r>
              <w:rPr>
                <w:rFonts w:hint="eastAsia"/>
              </w:rPr>
              <w:t>购金额以</w:t>
            </w:r>
            <w:r>
              <w:t>1</w:t>
            </w:r>
            <w:r>
              <w:rPr>
                <w:rFonts w:hint="eastAsia"/>
              </w:rPr>
              <w:t>元的整数倍递增。</w:t>
            </w:r>
          </w:p>
          <w:p w:rsidR="000715C0" w:rsidRDefault="00CB504C">
            <w:pPr>
              <w:rPr>
                <w:rFonts w:ascii="Times New Roman" w:hAnsi="Times New Roman"/>
                <w:bCs/>
                <w:szCs w:val="21"/>
              </w:rPr>
            </w:pPr>
            <w:r>
              <w:rPr>
                <w:rFonts w:ascii="Times New Roman" w:hAnsi="Times New Roman" w:hint="eastAsia"/>
                <w:bCs/>
                <w:szCs w:val="21"/>
              </w:rPr>
              <w:lastRenderedPageBreak/>
              <w:t>若本产品通过代理销售机构销售，代理销售机构可根据其销售需要对起点金额、递增金额进行重新设定，但不得低于销售文件之约定，投资者通过代理销售机构购买本理财产品的，以该代理销售机构最终披露为准。</w:t>
            </w:r>
          </w:p>
        </w:tc>
      </w:tr>
      <w:tr w:rsidR="000715C0">
        <w:trPr>
          <w:gridAfter w:val="1"/>
          <w:wAfter w:w="15" w:type="dxa"/>
        </w:trPr>
        <w:tc>
          <w:tcPr>
            <w:tcW w:w="1739" w:type="dxa"/>
            <w:vAlign w:val="center"/>
          </w:tcPr>
          <w:p w:rsidR="000715C0" w:rsidRDefault="00CB504C">
            <w:pPr>
              <w:widowControl/>
              <w:spacing w:line="276" w:lineRule="auto"/>
              <w:jc w:val="center"/>
              <w:rPr>
                <w:rFonts w:ascii="Times New Roman" w:hAnsi="Times New Roman"/>
                <w:bCs/>
                <w:szCs w:val="21"/>
              </w:rPr>
            </w:pPr>
            <w:r>
              <w:rPr>
                <w:rFonts w:ascii="Times New Roman" w:hAnsi="Times New Roman"/>
                <w:bCs/>
                <w:szCs w:val="21"/>
              </w:rPr>
              <w:lastRenderedPageBreak/>
              <w:t>单笔赎回最低份额</w:t>
            </w:r>
          </w:p>
        </w:tc>
        <w:tc>
          <w:tcPr>
            <w:tcW w:w="6213" w:type="dxa"/>
            <w:vAlign w:val="center"/>
          </w:tcPr>
          <w:p w:rsidR="000715C0" w:rsidRDefault="00CB504C">
            <w:pPr>
              <w:spacing w:line="276" w:lineRule="auto"/>
              <w:rPr>
                <w:rFonts w:ascii="Times New Roman" w:hAnsi="Times New Roman"/>
                <w:bCs/>
                <w:szCs w:val="21"/>
              </w:rPr>
            </w:pPr>
            <w:r>
              <w:rPr>
                <w:rFonts w:ascii="Times New Roman" w:hAnsi="Times New Roman"/>
                <w:bCs/>
                <w:szCs w:val="21"/>
              </w:rPr>
              <w:t>单笔赎回最低份额</w:t>
            </w:r>
            <w:r>
              <w:rPr>
                <w:rFonts w:ascii="Times New Roman" w:hAnsi="Times New Roman" w:hint="eastAsia"/>
                <w:bCs/>
                <w:szCs w:val="21"/>
              </w:rPr>
              <w:t>为</w:t>
            </w:r>
            <w:r>
              <w:rPr>
                <w:rFonts w:ascii="Times New Roman" w:hAnsi="Times New Roman"/>
                <w:bCs/>
                <w:szCs w:val="21"/>
              </w:rPr>
              <w:t>0.01</w:t>
            </w:r>
            <w:r>
              <w:rPr>
                <w:rFonts w:ascii="Times New Roman" w:hAnsi="Times New Roman" w:hint="eastAsia"/>
                <w:bCs/>
                <w:szCs w:val="21"/>
              </w:rPr>
              <w:t>份，并以</w:t>
            </w:r>
            <w:r>
              <w:rPr>
                <w:rFonts w:ascii="Times New Roman" w:hAnsi="Times New Roman" w:hint="eastAsia"/>
                <w:bCs/>
                <w:szCs w:val="21"/>
              </w:rPr>
              <w:t>0.01</w:t>
            </w:r>
            <w:r>
              <w:rPr>
                <w:rFonts w:ascii="Times New Roman" w:hAnsi="Times New Roman" w:hint="eastAsia"/>
                <w:bCs/>
                <w:szCs w:val="21"/>
              </w:rPr>
              <w:t>份整数倍追加。</w:t>
            </w:r>
          </w:p>
        </w:tc>
      </w:tr>
      <w:tr w:rsidR="000715C0">
        <w:trPr>
          <w:gridAfter w:val="1"/>
          <w:wAfter w:w="15" w:type="dxa"/>
        </w:trPr>
        <w:tc>
          <w:tcPr>
            <w:tcW w:w="1739" w:type="dxa"/>
          </w:tcPr>
          <w:p w:rsidR="000715C0" w:rsidRDefault="00CB504C">
            <w:pPr>
              <w:widowControl/>
              <w:spacing w:line="276" w:lineRule="auto"/>
              <w:jc w:val="center"/>
              <w:rPr>
                <w:rFonts w:ascii="Times New Roman" w:hAnsi="Times New Roman"/>
                <w:bCs/>
                <w:szCs w:val="21"/>
              </w:rPr>
            </w:pPr>
            <w:r>
              <w:rPr>
                <w:rFonts w:ascii="Times New Roman" w:hAnsi="Times New Roman" w:hint="eastAsia"/>
                <w:szCs w:val="21"/>
              </w:rPr>
              <w:t>最低保留份额</w:t>
            </w:r>
          </w:p>
        </w:tc>
        <w:tc>
          <w:tcPr>
            <w:tcW w:w="6213" w:type="dxa"/>
          </w:tcPr>
          <w:p w:rsidR="000715C0" w:rsidRDefault="00CB504C">
            <w:pPr>
              <w:spacing w:line="276" w:lineRule="auto"/>
            </w:pPr>
            <w:r>
              <w:t>A</w:t>
            </w:r>
            <w:r>
              <w:rPr>
                <w:rFonts w:hint="eastAsia"/>
              </w:rPr>
              <w:t>份额为</w:t>
            </w:r>
            <w:r>
              <w:t>1</w:t>
            </w:r>
            <w:r>
              <w:rPr>
                <w:rFonts w:hint="eastAsia"/>
              </w:rPr>
              <w:t>份，当</w:t>
            </w:r>
            <w:r>
              <w:t>A</w:t>
            </w:r>
            <w:r>
              <w:rPr>
                <w:rFonts w:hint="eastAsia"/>
              </w:rPr>
              <w:t>份额投资者持有的剩余</w:t>
            </w:r>
            <w:r>
              <w:t>A</w:t>
            </w:r>
            <w:r>
              <w:rPr>
                <w:rFonts w:hint="eastAsia"/>
              </w:rPr>
              <w:t>份额低于</w:t>
            </w:r>
            <w:r>
              <w:t>1</w:t>
            </w:r>
            <w:r>
              <w:rPr>
                <w:rFonts w:hint="eastAsia"/>
              </w:rPr>
              <w:t>份时，应一次性申请赎回其持有的全部</w:t>
            </w:r>
            <w:r>
              <w:t>A</w:t>
            </w:r>
            <w:r>
              <w:rPr>
                <w:rFonts w:hint="eastAsia"/>
              </w:rPr>
              <w:t>份额理财产品；</w:t>
            </w:r>
          </w:p>
          <w:p w:rsidR="000715C0" w:rsidRDefault="00CB504C">
            <w:pPr>
              <w:spacing w:line="276" w:lineRule="auto"/>
            </w:pPr>
            <w:r>
              <w:t>B</w:t>
            </w:r>
            <w:r>
              <w:rPr>
                <w:rFonts w:hint="eastAsia"/>
              </w:rPr>
              <w:t>份额为</w:t>
            </w:r>
            <w:r>
              <w:t>1</w:t>
            </w:r>
            <w:r>
              <w:rPr>
                <w:rFonts w:hint="eastAsia"/>
              </w:rPr>
              <w:t>份，当</w:t>
            </w:r>
            <w:r>
              <w:t>B</w:t>
            </w:r>
            <w:r>
              <w:rPr>
                <w:rFonts w:hint="eastAsia"/>
              </w:rPr>
              <w:t>份额投资者持有的剩余</w:t>
            </w:r>
            <w:r>
              <w:t>B</w:t>
            </w:r>
            <w:r>
              <w:rPr>
                <w:rFonts w:hint="eastAsia"/>
              </w:rPr>
              <w:t>份额低于</w:t>
            </w:r>
            <w:r>
              <w:t>1</w:t>
            </w:r>
            <w:r>
              <w:rPr>
                <w:rFonts w:hint="eastAsia"/>
              </w:rPr>
              <w:t>份时，应一次性申请赎回其持有的全部</w:t>
            </w:r>
            <w:r>
              <w:t>B</w:t>
            </w:r>
            <w:r>
              <w:rPr>
                <w:rFonts w:hint="eastAsia"/>
              </w:rPr>
              <w:t>份额理财产品；</w:t>
            </w:r>
          </w:p>
          <w:p w:rsidR="000715C0" w:rsidRDefault="00CB504C">
            <w:pPr>
              <w:spacing w:line="276" w:lineRule="auto"/>
            </w:pPr>
            <w:r>
              <w:t>C</w:t>
            </w:r>
            <w:r>
              <w:rPr>
                <w:rFonts w:hint="eastAsia"/>
              </w:rPr>
              <w:t>份额为</w:t>
            </w:r>
            <w:r>
              <w:t>1</w:t>
            </w:r>
            <w:r>
              <w:rPr>
                <w:rFonts w:hint="eastAsia"/>
              </w:rPr>
              <w:t>份，当</w:t>
            </w:r>
            <w:r>
              <w:t>C</w:t>
            </w:r>
            <w:r>
              <w:rPr>
                <w:rFonts w:hint="eastAsia"/>
              </w:rPr>
              <w:t>份额投资者持有的剩余</w:t>
            </w:r>
            <w:r>
              <w:t>C</w:t>
            </w:r>
            <w:r>
              <w:rPr>
                <w:rFonts w:hint="eastAsia"/>
              </w:rPr>
              <w:t>份额低于</w:t>
            </w:r>
            <w:r>
              <w:t>1</w:t>
            </w:r>
            <w:r>
              <w:rPr>
                <w:rFonts w:hint="eastAsia"/>
              </w:rPr>
              <w:t>份时，应一次性申请赎回其持有的全部</w:t>
            </w:r>
            <w:r>
              <w:t>C</w:t>
            </w:r>
            <w:r>
              <w:rPr>
                <w:rFonts w:hint="eastAsia"/>
              </w:rPr>
              <w:t>份额理财产品</w:t>
            </w:r>
            <w:r>
              <w:t>；</w:t>
            </w:r>
          </w:p>
          <w:p w:rsidR="000715C0" w:rsidRDefault="00CB504C">
            <w:pPr>
              <w:spacing w:line="276" w:lineRule="auto"/>
            </w:pPr>
            <w:r>
              <w:rPr>
                <w:rFonts w:hint="eastAsia"/>
              </w:rPr>
              <w:t>D</w:t>
            </w:r>
            <w:r>
              <w:rPr>
                <w:rFonts w:hint="eastAsia"/>
              </w:rPr>
              <w:t>份额为</w:t>
            </w:r>
            <w:r>
              <w:t>1</w:t>
            </w:r>
            <w:r>
              <w:rPr>
                <w:rFonts w:hint="eastAsia"/>
              </w:rPr>
              <w:t>份，当</w:t>
            </w:r>
            <w:r>
              <w:rPr>
                <w:rFonts w:hint="eastAsia"/>
              </w:rPr>
              <w:t>D</w:t>
            </w:r>
            <w:r>
              <w:rPr>
                <w:rFonts w:hint="eastAsia"/>
              </w:rPr>
              <w:t>份额投资者持有的剩余</w:t>
            </w:r>
            <w:r>
              <w:rPr>
                <w:rFonts w:hint="eastAsia"/>
              </w:rPr>
              <w:t>D</w:t>
            </w:r>
            <w:r>
              <w:rPr>
                <w:rFonts w:hint="eastAsia"/>
              </w:rPr>
              <w:t>份额低于</w:t>
            </w:r>
            <w:r>
              <w:t>1</w:t>
            </w:r>
            <w:r>
              <w:rPr>
                <w:rFonts w:hint="eastAsia"/>
              </w:rPr>
              <w:t>份时，应一次性申请赎回其持有的全部</w:t>
            </w:r>
            <w:r>
              <w:rPr>
                <w:rFonts w:hint="eastAsia"/>
              </w:rPr>
              <w:t>D</w:t>
            </w:r>
            <w:r>
              <w:rPr>
                <w:rFonts w:hint="eastAsia"/>
              </w:rPr>
              <w:t>份额理财产品；</w:t>
            </w:r>
          </w:p>
          <w:p w:rsidR="000715C0" w:rsidRDefault="00CB504C">
            <w:pPr>
              <w:spacing w:line="276" w:lineRule="auto"/>
            </w:pPr>
            <w:r>
              <w:t>E</w:t>
            </w:r>
            <w:r>
              <w:rPr>
                <w:rFonts w:hint="eastAsia"/>
              </w:rPr>
              <w:t>份额为</w:t>
            </w:r>
            <w:r>
              <w:t>1</w:t>
            </w:r>
            <w:r>
              <w:rPr>
                <w:rFonts w:hint="eastAsia"/>
              </w:rPr>
              <w:t>份，当</w:t>
            </w:r>
            <w:r>
              <w:t>E</w:t>
            </w:r>
            <w:r>
              <w:rPr>
                <w:rFonts w:hint="eastAsia"/>
              </w:rPr>
              <w:t>份额投资者持有的剩余</w:t>
            </w:r>
            <w:r>
              <w:t>E</w:t>
            </w:r>
            <w:r>
              <w:rPr>
                <w:rFonts w:hint="eastAsia"/>
              </w:rPr>
              <w:t>份额低于</w:t>
            </w:r>
            <w:r>
              <w:t>1</w:t>
            </w:r>
            <w:r>
              <w:rPr>
                <w:rFonts w:hint="eastAsia"/>
              </w:rPr>
              <w:t>份时，应一次性申请赎回其持有的全部</w:t>
            </w:r>
            <w:r>
              <w:t>E</w:t>
            </w:r>
            <w:r>
              <w:rPr>
                <w:rFonts w:hint="eastAsia"/>
              </w:rPr>
              <w:t>份额理财产品；</w:t>
            </w:r>
          </w:p>
          <w:p w:rsidR="000715C0" w:rsidRDefault="00CB504C">
            <w:pPr>
              <w:spacing w:line="276" w:lineRule="auto"/>
            </w:pPr>
            <w:r>
              <w:rPr>
                <w:rFonts w:hint="eastAsia"/>
              </w:rPr>
              <w:t>F</w:t>
            </w:r>
            <w:r>
              <w:rPr>
                <w:rFonts w:hint="eastAsia"/>
              </w:rPr>
              <w:t>份额为</w:t>
            </w:r>
            <w:r>
              <w:t>1</w:t>
            </w:r>
            <w:r>
              <w:rPr>
                <w:rFonts w:hint="eastAsia"/>
              </w:rPr>
              <w:t>份，当</w:t>
            </w:r>
            <w:r>
              <w:rPr>
                <w:rFonts w:hint="eastAsia"/>
              </w:rPr>
              <w:t>F</w:t>
            </w:r>
            <w:r>
              <w:rPr>
                <w:rFonts w:hint="eastAsia"/>
              </w:rPr>
              <w:t>份额投资者持有的剩余</w:t>
            </w:r>
            <w:r>
              <w:rPr>
                <w:rFonts w:hint="eastAsia"/>
              </w:rPr>
              <w:t>F</w:t>
            </w:r>
            <w:r>
              <w:rPr>
                <w:rFonts w:hint="eastAsia"/>
              </w:rPr>
              <w:t>份额低于</w:t>
            </w:r>
            <w:r>
              <w:t>1</w:t>
            </w:r>
            <w:r>
              <w:rPr>
                <w:rFonts w:hint="eastAsia"/>
              </w:rPr>
              <w:t>份时，应一次性申请赎回其持有的全部</w:t>
            </w:r>
            <w:r>
              <w:rPr>
                <w:rFonts w:hint="eastAsia"/>
              </w:rPr>
              <w:t>F</w:t>
            </w:r>
            <w:r>
              <w:rPr>
                <w:rFonts w:hint="eastAsia"/>
              </w:rPr>
              <w:t>份额理财产品</w:t>
            </w:r>
            <w:r>
              <w:rPr>
                <w:rFonts w:hint="eastAsia"/>
              </w:rPr>
              <w:t>；</w:t>
            </w:r>
          </w:p>
          <w:p w:rsidR="000715C0" w:rsidRDefault="00CB504C">
            <w:pPr>
              <w:spacing w:line="276" w:lineRule="auto"/>
            </w:pPr>
            <w:r>
              <w:rPr>
                <w:rFonts w:hint="eastAsia"/>
              </w:rPr>
              <w:t>G</w:t>
            </w:r>
            <w:r>
              <w:rPr>
                <w:rFonts w:hint="eastAsia"/>
              </w:rPr>
              <w:t>份额为</w:t>
            </w:r>
            <w:r>
              <w:t>1</w:t>
            </w:r>
            <w:r>
              <w:rPr>
                <w:rFonts w:hint="eastAsia"/>
              </w:rPr>
              <w:t>份，当</w:t>
            </w:r>
            <w:r>
              <w:rPr>
                <w:rFonts w:hint="eastAsia"/>
              </w:rPr>
              <w:t>G</w:t>
            </w:r>
            <w:r>
              <w:rPr>
                <w:rFonts w:hint="eastAsia"/>
              </w:rPr>
              <w:t>份额投资者持有的剩余</w:t>
            </w:r>
            <w:r>
              <w:rPr>
                <w:rFonts w:hint="eastAsia"/>
              </w:rPr>
              <w:t>G</w:t>
            </w:r>
            <w:r>
              <w:rPr>
                <w:rFonts w:hint="eastAsia"/>
              </w:rPr>
              <w:t>份额低于</w:t>
            </w:r>
            <w:r>
              <w:t>1</w:t>
            </w:r>
            <w:r>
              <w:rPr>
                <w:rFonts w:hint="eastAsia"/>
              </w:rPr>
              <w:t>份时，应一次性申请赎回其持有的全部</w:t>
            </w:r>
            <w:r>
              <w:rPr>
                <w:rFonts w:hint="eastAsia"/>
              </w:rPr>
              <w:t>G</w:t>
            </w:r>
            <w:r>
              <w:rPr>
                <w:rFonts w:hint="eastAsia"/>
              </w:rPr>
              <w:t>份额理财产品</w:t>
            </w:r>
            <w:r>
              <w:rPr>
                <w:rFonts w:hint="eastAsia"/>
              </w:rPr>
              <w:t>；</w:t>
            </w:r>
          </w:p>
          <w:p w:rsidR="000715C0" w:rsidRDefault="00CB504C">
            <w:pPr>
              <w:spacing w:line="276" w:lineRule="auto"/>
            </w:pPr>
            <w:r>
              <w:t>H</w:t>
            </w:r>
            <w:r>
              <w:rPr>
                <w:rFonts w:hint="eastAsia"/>
              </w:rPr>
              <w:t>份额为</w:t>
            </w:r>
            <w:r>
              <w:t>1</w:t>
            </w:r>
            <w:r>
              <w:rPr>
                <w:rFonts w:hint="eastAsia"/>
              </w:rPr>
              <w:t>份，当</w:t>
            </w:r>
            <w:r>
              <w:t>H</w:t>
            </w:r>
            <w:r>
              <w:rPr>
                <w:rFonts w:hint="eastAsia"/>
              </w:rPr>
              <w:t>份额投资者持有的剩余</w:t>
            </w:r>
            <w:r>
              <w:t>H</w:t>
            </w:r>
            <w:r>
              <w:rPr>
                <w:rFonts w:hint="eastAsia"/>
              </w:rPr>
              <w:t>份额低于</w:t>
            </w:r>
            <w:r>
              <w:t>1</w:t>
            </w:r>
            <w:r>
              <w:rPr>
                <w:rFonts w:hint="eastAsia"/>
              </w:rPr>
              <w:t>份时，应一次性申请赎回其持有的全部</w:t>
            </w:r>
            <w:r>
              <w:t>H</w:t>
            </w:r>
            <w:r>
              <w:rPr>
                <w:rFonts w:hint="eastAsia"/>
              </w:rPr>
              <w:t>份额理财产品</w:t>
            </w:r>
            <w:r>
              <w:rPr>
                <w:rFonts w:hint="eastAsia"/>
              </w:rPr>
              <w:t>；</w:t>
            </w:r>
          </w:p>
          <w:p w:rsidR="000715C0" w:rsidRDefault="00CB504C">
            <w:pPr>
              <w:spacing w:line="276" w:lineRule="auto"/>
              <w:rPr>
                <w:rFonts w:ascii="Times New Roman" w:hAnsi="Times New Roman"/>
                <w:bCs/>
                <w:szCs w:val="21"/>
              </w:rPr>
            </w:pPr>
            <w:r>
              <w:rPr>
                <w:rFonts w:hint="eastAsia"/>
              </w:rPr>
              <w:t>I</w:t>
            </w:r>
            <w:r>
              <w:rPr>
                <w:rFonts w:hint="eastAsia"/>
              </w:rPr>
              <w:t>份额为</w:t>
            </w:r>
            <w:r>
              <w:t>1</w:t>
            </w:r>
            <w:r>
              <w:rPr>
                <w:rFonts w:hint="eastAsia"/>
              </w:rPr>
              <w:t>份，当</w:t>
            </w:r>
            <w:r>
              <w:rPr>
                <w:rFonts w:hint="eastAsia"/>
              </w:rPr>
              <w:t>I</w:t>
            </w:r>
            <w:r>
              <w:rPr>
                <w:rFonts w:hint="eastAsia"/>
              </w:rPr>
              <w:t>份额投资者持有的剩余</w:t>
            </w:r>
            <w:r>
              <w:rPr>
                <w:rFonts w:hint="eastAsia"/>
              </w:rPr>
              <w:t>I</w:t>
            </w:r>
            <w:r>
              <w:rPr>
                <w:rFonts w:hint="eastAsia"/>
              </w:rPr>
              <w:t>份额低于</w:t>
            </w:r>
            <w:r>
              <w:t>1</w:t>
            </w:r>
            <w:r>
              <w:rPr>
                <w:rFonts w:hint="eastAsia"/>
              </w:rPr>
              <w:t>份时，应一次性申请赎回其持有的全部</w:t>
            </w:r>
            <w:r>
              <w:rPr>
                <w:rFonts w:hint="eastAsia"/>
              </w:rPr>
              <w:t>I</w:t>
            </w:r>
            <w:r>
              <w:rPr>
                <w:rFonts w:hint="eastAsia"/>
              </w:rPr>
              <w:t>份额理财产品。</w:t>
            </w:r>
          </w:p>
        </w:tc>
      </w:tr>
      <w:tr w:rsidR="000715C0">
        <w:trPr>
          <w:gridAfter w:val="1"/>
          <w:wAfter w:w="15" w:type="dxa"/>
        </w:trPr>
        <w:tc>
          <w:tcPr>
            <w:tcW w:w="1739" w:type="dxa"/>
            <w:vAlign w:val="center"/>
          </w:tcPr>
          <w:p w:rsidR="000715C0" w:rsidRDefault="00CB504C">
            <w:pPr>
              <w:widowControl/>
              <w:spacing w:line="276" w:lineRule="auto"/>
              <w:jc w:val="center"/>
              <w:rPr>
                <w:rFonts w:ascii="Times New Roman" w:hAnsi="Times New Roman"/>
                <w:bCs/>
                <w:szCs w:val="21"/>
              </w:rPr>
            </w:pPr>
            <w:r>
              <w:rPr>
                <w:rFonts w:ascii="Times New Roman" w:hAnsi="Times New Roman" w:hint="eastAsia"/>
                <w:bCs/>
                <w:szCs w:val="21"/>
              </w:rPr>
              <w:t>产品管理人</w:t>
            </w:r>
          </w:p>
        </w:tc>
        <w:tc>
          <w:tcPr>
            <w:tcW w:w="6213" w:type="dxa"/>
          </w:tcPr>
          <w:p w:rsidR="000715C0" w:rsidRDefault="00CB504C">
            <w:pPr>
              <w:spacing w:line="276" w:lineRule="auto"/>
              <w:rPr>
                <w:rFonts w:ascii="Times New Roman" w:hAnsi="Times New Roman"/>
                <w:bCs/>
                <w:szCs w:val="21"/>
              </w:rPr>
            </w:pPr>
            <w:r>
              <w:rPr>
                <w:rFonts w:ascii="Times New Roman" w:hAnsi="Times New Roman" w:hint="eastAsia"/>
                <w:szCs w:val="21"/>
              </w:rPr>
              <w:t>渝农商理财有限责任公司</w:t>
            </w:r>
          </w:p>
        </w:tc>
      </w:tr>
      <w:tr w:rsidR="000715C0">
        <w:trPr>
          <w:gridAfter w:val="1"/>
          <w:wAfter w:w="15" w:type="dxa"/>
        </w:trPr>
        <w:tc>
          <w:tcPr>
            <w:tcW w:w="1739" w:type="dxa"/>
            <w:vAlign w:val="center"/>
          </w:tcPr>
          <w:p w:rsidR="000715C0" w:rsidRDefault="00CB504C">
            <w:pPr>
              <w:widowControl/>
              <w:spacing w:line="276" w:lineRule="auto"/>
              <w:jc w:val="center"/>
              <w:rPr>
                <w:rFonts w:ascii="Times New Roman" w:hAnsi="Times New Roman"/>
                <w:bCs/>
                <w:szCs w:val="21"/>
              </w:rPr>
            </w:pPr>
            <w:r>
              <w:rPr>
                <w:rFonts w:ascii="Times New Roman" w:hAnsi="Times New Roman" w:cs="宋体" w:hint="eastAsia"/>
                <w:bCs/>
                <w:szCs w:val="21"/>
              </w:rPr>
              <w:t>销售（代理销售）机构</w:t>
            </w:r>
          </w:p>
        </w:tc>
        <w:tc>
          <w:tcPr>
            <w:tcW w:w="6213" w:type="dxa"/>
          </w:tcPr>
          <w:p w:rsidR="000715C0" w:rsidRDefault="00CB504C">
            <w:r>
              <w:rPr>
                <w:rFonts w:hint="eastAsia"/>
              </w:rPr>
              <w:t>A</w:t>
            </w:r>
            <w:r>
              <w:rPr>
                <w:rFonts w:hint="eastAsia"/>
              </w:rPr>
              <w:t>份额的销售机构为</w:t>
            </w:r>
            <w:r>
              <w:t>重庆农村商业银行股份有限公司、江苏张家港渝农商村镇银行股份有限公司、四川大竹渝农商村镇银行股份有限公司、云南大理渝农商村镇银行有限责任公司、云南祥云渝农商村镇银行有限责任公司、云南鹤庆渝农商村镇银行有限责任公司、广西鹿寨渝农商村镇银行有限责任公司、福建沙县渝农商村镇银行有限责任公司、福建福安渝农商村镇银行有限责任公司、云南香格里拉渝农商村镇银行有限责任公司、福建平潭渝农商村镇银行有限责任公司、福建石狮渝农商村镇银行有限责任公司、云南西山渝农商村镇银行有限责任公司</w:t>
            </w:r>
            <w:r>
              <w:rPr>
                <w:rFonts w:hint="eastAsia"/>
              </w:rPr>
              <w:t>；</w:t>
            </w:r>
          </w:p>
          <w:p w:rsidR="000715C0" w:rsidRDefault="00CB504C">
            <w:r>
              <w:t>B</w:t>
            </w:r>
            <w:r>
              <w:t>份额的销售机构为渝农商理财有限责任公司；</w:t>
            </w:r>
          </w:p>
          <w:p w:rsidR="000715C0" w:rsidRDefault="00CB504C">
            <w:r>
              <w:rPr>
                <w:rFonts w:hint="eastAsia"/>
              </w:rPr>
              <w:t>C</w:t>
            </w:r>
            <w:r>
              <w:rPr>
                <w:rFonts w:hint="eastAsia"/>
              </w:rPr>
              <w:t>份额的销售机构为重庆富民银行股份有限公司、中信百信银行股份有限公司、</w:t>
            </w:r>
            <w:r>
              <w:rPr>
                <w:rFonts w:ascii="Times New Roman" w:hAnsi="Times New Roman" w:cs="宋体" w:hint="eastAsia"/>
                <w:szCs w:val="21"/>
              </w:rPr>
              <w:t>江苏苏</w:t>
            </w:r>
            <w:r>
              <w:rPr>
                <w:rFonts w:ascii="Times New Roman" w:hAnsi="Times New Roman" w:cs="宋体" w:hint="eastAsia"/>
                <w:szCs w:val="21"/>
              </w:rPr>
              <w:t>商</w:t>
            </w:r>
            <w:r>
              <w:rPr>
                <w:rFonts w:ascii="Times New Roman" w:hAnsi="Times New Roman" w:cs="宋体" w:hint="eastAsia"/>
                <w:szCs w:val="21"/>
              </w:rPr>
              <w:t>银行股份有限公司</w:t>
            </w:r>
            <w:r>
              <w:t>；</w:t>
            </w:r>
          </w:p>
          <w:p w:rsidR="000715C0" w:rsidRDefault="00CB504C">
            <w:r>
              <w:rPr>
                <w:rFonts w:hint="eastAsia"/>
              </w:rPr>
              <w:t>D</w:t>
            </w:r>
            <w:r>
              <w:rPr>
                <w:rFonts w:hint="eastAsia"/>
              </w:rPr>
              <w:t>份额的销售机构为秦皇岛银行股份有限公司</w:t>
            </w:r>
            <w:r>
              <w:t>；</w:t>
            </w:r>
          </w:p>
          <w:p w:rsidR="000715C0" w:rsidRDefault="00CB504C">
            <w:r>
              <w:rPr>
                <w:rFonts w:hint="eastAsia"/>
              </w:rPr>
              <w:t>E</w:t>
            </w:r>
            <w:r>
              <w:rPr>
                <w:rFonts w:hint="eastAsia"/>
              </w:rPr>
              <w:t>份额的销售机构为浙江网商银行股份有限公司</w:t>
            </w:r>
            <w:r>
              <w:t>；</w:t>
            </w:r>
          </w:p>
          <w:p w:rsidR="000715C0" w:rsidRDefault="00CB504C">
            <w:r>
              <w:rPr>
                <w:rFonts w:hint="eastAsia"/>
              </w:rPr>
              <w:t>F</w:t>
            </w:r>
            <w:r>
              <w:rPr>
                <w:rFonts w:hint="eastAsia"/>
              </w:rPr>
              <w:t>份额的销售机构为浙江长兴农村商业银行股份有限公司</w:t>
            </w:r>
            <w:r>
              <w:t>；</w:t>
            </w:r>
          </w:p>
          <w:p w:rsidR="000715C0" w:rsidRDefault="00CB504C">
            <w:r>
              <w:rPr>
                <w:rFonts w:hint="eastAsia"/>
              </w:rPr>
              <w:lastRenderedPageBreak/>
              <w:t>G</w:t>
            </w:r>
            <w:r>
              <w:rPr>
                <w:rFonts w:hint="eastAsia"/>
              </w:rPr>
              <w:t>份额的销售机构为</w:t>
            </w:r>
            <w:r>
              <w:rPr>
                <w:rFonts w:hint="eastAsia"/>
              </w:rPr>
              <w:t>深圳前海微众</w:t>
            </w:r>
            <w:r>
              <w:rPr>
                <w:rFonts w:hint="eastAsia"/>
              </w:rPr>
              <w:t>银行股份有限公司</w:t>
            </w:r>
            <w:r>
              <w:rPr>
                <w:rFonts w:hint="eastAsia"/>
              </w:rPr>
              <w:t>；</w:t>
            </w:r>
          </w:p>
          <w:p w:rsidR="000715C0" w:rsidRDefault="00CB504C">
            <w:r>
              <w:t>H</w:t>
            </w:r>
            <w:r>
              <w:rPr>
                <w:rFonts w:hint="eastAsia"/>
              </w:rPr>
              <w:t>份额的销售机构为中邮邮惠万家银行有限责任公司</w:t>
            </w:r>
            <w:r>
              <w:rPr>
                <w:rFonts w:hint="eastAsia"/>
              </w:rPr>
              <w:t>；</w:t>
            </w:r>
          </w:p>
          <w:p w:rsidR="000715C0" w:rsidRDefault="00CB504C">
            <w:r>
              <w:rPr>
                <w:rFonts w:hint="eastAsia"/>
              </w:rPr>
              <w:t>I</w:t>
            </w:r>
            <w:r>
              <w:rPr>
                <w:rFonts w:hint="eastAsia"/>
              </w:rPr>
              <w:t>份额的销售机构为</w:t>
            </w:r>
            <w:r>
              <w:rPr>
                <w:rFonts w:hint="eastAsia"/>
              </w:rPr>
              <w:t>厦门</w:t>
            </w:r>
            <w:r>
              <w:rPr>
                <w:rFonts w:hint="eastAsia"/>
              </w:rPr>
              <w:t>银行股份有限公司。</w:t>
            </w:r>
          </w:p>
          <w:p w:rsidR="000715C0" w:rsidRDefault="00CB504C">
            <w:pPr>
              <w:spacing w:line="276" w:lineRule="auto"/>
              <w:rPr>
                <w:rFonts w:ascii="Times New Roman" w:hAnsi="Times New Roman"/>
                <w:bCs/>
                <w:szCs w:val="21"/>
              </w:rPr>
            </w:pPr>
            <w:r>
              <w:rPr>
                <w:rFonts w:hint="eastAsia"/>
                <w:szCs w:val="21"/>
              </w:rPr>
              <w:t>销售（代理销售）机构负责产品销售渠道维护、投资者适当性管理和风险承受能力评估、提供产品申购赎回（如有）等服务，并协助开展合同签署、信息披露、客户咨询等销售服务。</w:t>
            </w:r>
          </w:p>
        </w:tc>
      </w:tr>
      <w:tr w:rsidR="000715C0">
        <w:trPr>
          <w:gridAfter w:val="1"/>
          <w:wAfter w:w="15" w:type="dxa"/>
        </w:trPr>
        <w:tc>
          <w:tcPr>
            <w:tcW w:w="1739" w:type="dxa"/>
            <w:vAlign w:val="center"/>
          </w:tcPr>
          <w:p w:rsidR="000715C0" w:rsidRDefault="00CB504C">
            <w:pPr>
              <w:widowControl/>
              <w:spacing w:line="276" w:lineRule="auto"/>
              <w:jc w:val="center"/>
              <w:rPr>
                <w:rFonts w:ascii="Times New Roman" w:hAnsi="Times New Roman"/>
                <w:bCs/>
                <w:szCs w:val="21"/>
              </w:rPr>
            </w:pPr>
            <w:r>
              <w:rPr>
                <w:rFonts w:ascii="Times New Roman" w:hAnsi="Times New Roman" w:cs="宋体" w:hint="eastAsia"/>
                <w:szCs w:val="21"/>
              </w:rPr>
              <w:lastRenderedPageBreak/>
              <w:t>理财产品托管人</w:t>
            </w:r>
          </w:p>
        </w:tc>
        <w:tc>
          <w:tcPr>
            <w:tcW w:w="6213" w:type="dxa"/>
          </w:tcPr>
          <w:p w:rsidR="000715C0" w:rsidRDefault="00CB504C">
            <w:pPr>
              <w:spacing w:line="276" w:lineRule="auto"/>
              <w:rPr>
                <w:rFonts w:ascii="Times New Roman" w:hAnsi="Times New Roman"/>
                <w:bCs/>
                <w:szCs w:val="21"/>
              </w:rPr>
            </w:pPr>
            <w:r>
              <w:t>招商银行股份有限公司。</w:t>
            </w:r>
            <w:r>
              <w:rPr>
                <w:rFonts w:ascii="Times New Roman" w:hAnsi="Times New Roman" w:cs="宋体"/>
                <w:szCs w:val="21"/>
              </w:rPr>
              <w:t>托管人负责指令处理、资金清算、证券结算、会计核算、资产估值等职责。</w:t>
            </w:r>
          </w:p>
        </w:tc>
      </w:tr>
      <w:tr w:rsidR="000715C0">
        <w:trPr>
          <w:gridAfter w:val="1"/>
          <w:wAfter w:w="15" w:type="dxa"/>
        </w:trPr>
        <w:tc>
          <w:tcPr>
            <w:tcW w:w="1739" w:type="dxa"/>
            <w:vAlign w:val="center"/>
          </w:tcPr>
          <w:p w:rsidR="000715C0" w:rsidRDefault="00CB504C">
            <w:pPr>
              <w:widowControl/>
              <w:spacing w:line="276" w:lineRule="auto"/>
              <w:jc w:val="center"/>
              <w:rPr>
                <w:rFonts w:ascii="Times New Roman" w:hAnsi="Times New Roman" w:cs="宋体"/>
                <w:szCs w:val="21"/>
              </w:rPr>
            </w:pPr>
            <w:r>
              <w:rPr>
                <w:rFonts w:ascii="Times New Roman" w:hAnsi="Times New Roman" w:cs="宋体" w:hint="eastAsia"/>
                <w:szCs w:val="21"/>
              </w:rPr>
              <w:t>投资合作机构</w:t>
            </w:r>
          </w:p>
        </w:tc>
        <w:tc>
          <w:tcPr>
            <w:tcW w:w="6213" w:type="dxa"/>
          </w:tcPr>
          <w:p w:rsidR="000715C0" w:rsidRDefault="00CB504C">
            <w:pPr>
              <w:spacing w:line="276" w:lineRule="auto"/>
              <w:rPr>
                <w:rFonts w:ascii="Times New Roman" w:hAnsi="Times New Roman" w:cs="宋体"/>
                <w:szCs w:val="21"/>
              </w:rPr>
            </w:pPr>
            <w:r>
              <w:t>投资合作机构包括但不限于理财产品所投资资产管理产品的发行机构、根据合同约定从事理财产品受托投资的机构以及与理财产品投资管理相关的投资顾问等。投资合作机构主要负责进行受托资金的投资管理，根据合同约定受托投资或者提供投资顾问等服务</w:t>
            </w:r>
            <w:r>
              <w:t>，具体职责以管理人与投资合作机构签署的合同为准。本产品目前的理财投资合作机构包括但不限于中国国际金融股份有限公司、广发证券资产管理（广东）有限公司、华西证券股份有限公司、上海国泰君安证券资产管理有限公司，具体以后续信息披露为准。</w:t>
            </w:r>
          </w:p>
        </w:tc>
      </w:tr>
      <w:tr w:rsidR="000715C0">
        <w:trPr>
          <w:gridAfter w:val="1"/>
          <w:wAfter w:w="15" w:type="dxa"/>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提前终止权</w:t>
            </w:r>
          </w:p>
        </w:tc>
        <w:tc>
          <w:tcPr>
            <w:tcW w:w="6213" w:type="dxa"/>
          </w:tcPr>
          <w:p w:rsidR="000715C0" w:rsidRDefault="00CB504C">
            <w:pPr>
              <w:spacing w:line="276" w:lineRule="auto"/>
              <w:rPr>
                <w:rFonts w:ascii="Times New Roman" w:hAnsi="Times New Roman"/>
                <w:bCs/>
                <w:szCs w:val="21"/>
              </w:rPr>
            </w:pPr>
            <w:r>
              <w:rPr>
                <w:rFonts w:ascii="Times New Roman" w:hAnsi="Times New Roman" w:hint="eastAsia"/>
                <w:bCs/>
                <w:szCs w:val="21"/>
              </w:rPr>
              <w:t>除正常</w:t>
            </w:r>
            <w:r>
              <w:rPr>
                <w:rFonts w:ascii="Times New Roman" w:hAnsi="Times New Roman" w:cs="宋体"/>
                <w:szCs w:val="21"/>
              </w:rPr>
              <w:t>赎回</w:t>
            </w:r>
            <w:r>
              <w:rPr>
                <w:rFonts w:ascii="Times New Roman" w:hAnsi="Times New Roman" w:cs="宋体" w:hint="eastAsia"/>
                <w:szCs w:val="21"/>
              </w:rPr>
              <w:t>外，</w:t>
            </w:r>
            <w:r>
              <w:rPr>
                <w:rFonts w:ascii="Times New Roman" w:hAnsi="Times New Roman" w:hint="eastAsia"/>
                <w:bCs/>
                <w:szCs w:val="21"/>
              </w:rPr>
              <w:t>投资者无权提前终止该产品；在产品运作期间内，</w:t>
            </w:r>
            <w:r>
              <w:rPr>
                <w:rFonts w:ascii="Times New Roman" w:hAnsi="Times New Roman" w:hint="eastAsia"/>
                <w:szCs w:val="21"/>
              </w:rPr>
              <w:t>渝农商理财有限责任公司</w:t>
            </w:r>
            <w:r>
              <w:rPr>
                <w:rFonts w:ascii="Times New Roman" w:hAnsi="Times New Roman" w:hint="eastAsia"/>
                <w:bCs/>
                <w:szCs w:val="21"/>
              </w:rPr>
              <w:t>有权视产品运行情况提前终止本理财产品，详细内容见以下“</w:t>
            </w:r>
            <w:r>
              <w:rPr>
                <w:rFonts w:ascii="Times New Roman" w:hAnsi="Times New Roman" w:hint="eastAsia"/>
                <w:b/>
                <w:szCs w:val="21"/>
              </w:rPr>
              <w:t>提前终止</w:t>
            </w:r>
            <w:r>
              <w:rPr>
                <w:rFonts w:ascii="Times New Roman" w:hAnsi="Times New Roman" w:hint="eastAsia"/>
                <w:bCs/>
                <w:szCs w:val="21"/>
              </w:rPr>
              <w:t>”条款。</w:t>
            </w:r>
          </w:p>
        </w:tc>
      </w:tr>
      <w:tr w:rsidR="000715C0">
        <w:trPr>
          <w:gridAfter w:val="1"/>
          <w:wAfter w:w="15" w:type="dxa"/>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税款</w:t>
            </w:r>
          </w:p>
        </w:tc>
        <w:tc>
          <w:tcPr>
            <w:tcW w:w="6213" w:type="dxa"/>
          </w:tcPr>
          <w:p w:rsidR="000715C0" w:rsidRDefault="00CB504C">
            <w:pPr>
              <w:spacing w:line="276" w:lineRule="auto"/>
              <w:rPr>
                <w:rFonts w:ascii="Times New Roman" w:hAnsi="Times New Roman"/>
                <w:bCs/>
                <w:szCs w:val="21"/>
              </w:rPr>
            </w:pPr>
            <w:r>
              <w:rPr>
                <w:rFonts w:hint="eastAsia"/>
              </w:rPr>
              <w:t>本产品运作过程中涉及的各纳税主体的纳税义务按国家税收法律、法规执行。</w:t>
            </w:r>
            <w:r>
              <w:rPr>
                <w:rFonts w:ascii="Times New Roman" w:hAnsi="Times New Roman" w:hint="eastAsia"/>
                <w:bCs/>
                <w:szCs w:val="21"/>
              </w:rPr>
              <w:t>理财产品运营过程中产生的相关税费，由理财产品承担，</w:t>
            </w:r>
            <w:r>
              <w:rPr>
                <w:rFonts w:ascii="Times New Roman" w:hAnsi="Times New Roman" w:hint="eastAsia"/>
                <w:szCs w:val="21"/>
              </w:rPr>
              <w:t>渝农商理财有限责任公司作为产品管理人以理财资金予以缴纳。</w:t>
            </w:r>
            <w:r>
              <w:rPr>
                <w:rFonts w:ascii="Times New Roman" w:hAnsi="Times New Roman"/>
                <w:bCs/>
                <w:szCs w:val="21"/>
              </w:rPr>
              <w:t>除法律法规特别要求外，</w:t>
            </w:r>
            <w:r>
              <w:rPr>
                <w:rFonts w:ascii="Times New Roman" w:hAnsi="Times New Roman" w:hint="eastAsia"/>
                <w:bCs/>
                <w:szCs w:val="21"/>
              </w:rPr>
              <w:t>投资者取得理财收益的应纳税款由投资者自行申报及缴纳</w:t>
            </w:r>
            <w:r>
              <w:rPr>
                <w:rFonts w:ascii="Times New Roman" w:hAnsi="Times New Roman" w:hint="eastAsia"/>
                <w:kern w:val="0"/>
                <w:szCs w:val="21"/>
              </w:rPr>
              <w:t>，理财</w:t>
            </w:r>
            <w:r>
              <w:rPr>
                <w:rFonts w:ascii="Times New Roman" w:hAnsi="Times New Roman"/>
                <w:kern w:val="0"/>
                <w:szCs w:val="21"/>
              </w:rPr>
              <w:t>产品管理人不承担代扣代缴或纳税的义务</w:t>
            </w:r>
            <w:r>
              <w:rPr>
                <w:rFonts w:ascii="Times New Roman" w:hAnsi="Times New Roman" w:hint="eastAsia"/>
                <w:szCs w:val="21"/>
              </w:rPr>
              <w:t>。</w:t>
            </w:r>
          </w:p>
        </w:tc>
      </w:tr>
      <w:tr w:rsidR="000715C0">
        <w:trPr>
          <w:gridAfter w:val="1"/>
          <w:wAfter w:w="15" w:type="dxa"/>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cstheme="minorBidi"/>
                <w:szCs w:val="21"/>
              </w:rPr>
              <w:t>分红规则</w:t>
            </w:r>
          </w:p>
        </w:tc>
        <w:tc>
          <w:tcPr>
            <w:tcW w:w="6213" w:type="dxa"/>
            <w:vAlign w:val="center"/>
          </w:tcPr>
          <w:p w:rsidR="000715C0" w:rsidRDefault="00CB504C">
            <w:pPr>
              <w:spacing w:line="276" w:lineRule="auto"/>
              <w:rPr>
                <w:rFonts w:ascii="Times New Roman" w:hAnsi="Times New Roman"/>
                <w:bCs/>
                <w:szCs w:val="21"/>
              </w:rPr>
            </w:pPr>
            <w:r>
              <w:rPr>
                <w:rFonts w:ascii="Times New Roman" w:hAnsi="Times New Roman" w:cstheme="minorBidi"/>
                <w:szCs w:val="21"/>
              </w:rPr>
              <w:t>当产品单位净值达到一定金额时，管理人有权对产品进行分红。</w:t>
            </w:r>
          </w:p>
        </w:tc>
      </w:tr>
      <w:tr w:rsidR="000715C0">
        <w:trPr>
          <w:gridAfter w:val="1"/>
          <w:wAfter w:w="15" w:type="dxa"/>
        </w:trPr>
        <w:tc>
          <w:tcPr>
            <w:tcW w:w="1739" w:type="dxa"/>
            <w:vAlign w:val="center"/>
          </w:tcPr>
          <w:p w:rsidR="000715C0" w:rsidRDefault="00CB504C">
            <w:pPr>
              <w:spacing w:line="276" w:lineRule="auto"/>
              <w:jc w:val="center"/>
              <w:rPr>
                <w:rFonts w:ascii="Times New Roman" w:hAnsi="Times New Roman"/>
                <w:bCs/>
                <w:szCs w:val="21"/>
              </w:rPr>
            </w:pPr>
            <w:r>
              <w:rPr>
                <w:rFonts w:ascii="Times New Roman" w:hAnsi="Times New Roman" w:hint="eastAsia"/>
                <w:bCs/>
                <w:szCs w:val="21"/>
              </w:rPr>
              <w:t>其他规定</w:t>
            </w:r>
          </w:p>
        </w:tc>
        <w:tc>
          <w:tcPr>
            <w:tcW w:w="6213" w:type="dxa"/>
          </w:tcPr>
          <w:p w:rsidR="000715C0" w:rsidRDefault="00CB504C">
            <w:pPr>
              <w:spacing w:line="276" w:lineRule="auto"/>
              <w:rPr>
                <w:rFonts w:ascii="Times New Roman" w:hAnsi="Times New Roman"/>
                <w:b/>
                <w:szCs w:val="21"/>
              </w:rPr>
            </w:pPr>
            <w:r>
              <w:rPr>
                <w:rFonts w:ascii="Times New Roman" w:hAnsi="Times New Roman" w:hint="eastAsia"/>
                <w:b/>
                <w:szCs w:val="21"/>
              </w:rPr>
              <w:t>产品到期日或提前终止日或申赎确认日至资金到账日期间投资者资金不计息。</w:t>
            </w:r>
          </w:p>
        </w:tc>
      </w:tr>
    </w:tbl>
    <w:p w:rsidR="000715C0" w:rsidRDefault="00CB504C">
      <w:pPr>
        <w:numPr>
          <w:ilvl w:val="0"/>
          <w:numId w:val="1"/>
        </w:numPr>
        <w:spacing w:line="276" w:lineRule="auto"/>
        <w:ind w:firstLineChars="200" w:firstLine="422"/>
        <w:outlineLvl w:val="0"/>
        <w:rPr>
          <w:rFonts w:ascii="Times New Roman" w:hAnsi="Times New Roman"/>
          <w:b/>
          <w:bCs/>
          <w:szCs w:val="21"/>
        </w:rPr>
      </w:pPr>
      <w:r>
        <w:rPr>
          <w:rFonts w:ascii="Times New Roman" w:hAnsi="Times New Roman" w:hint="eastAsia"/>
          <w:b/>
          <w:bCs/>
          <w:szCs w:val="21"/>
        </w:rPr>
        <w:t>投资范围及比例</w:t>
      </w:r>
    </w:p>
    <w:p w:rsidR="000715C0" w:rsidRDefault="00CB504C">
      <w:pPr>
        <w:pStyle w:val="af1"/>
        <w:spacing w:line="276" w:lineRule="auto"/>
        <w:ind w:firstLineChars="0"/>
        <w:jc w:val="left"/>
        <w:rPr>
          <w:rFonts w:ascii="Times New Roman" w:hAnsi="Times New Roman"/>
          <w:bCs/>
          <w:szCs w:val="21"/>
        </w:rPr>
      </w:pPr>
      <w:bookmarkStart w:id="11" w:name="_Hlk38478568"/>
      <w:bookmarkStart w:id="12" w:name="_Hlk38475931"/>
      <w:r>
        <w:rPr>
          <w:rFonts w:ascii="Times New Roman" w:hAnsi="Times New Roman" w:hint="eastAsia"/>
          <w:bCs/>
          <w:szCs w:val="21"/>
        </w:rPr>
        <w:t>本理财产品直接或通过证券投资基金、资产管理计划和信托计划等间接投资于符合监管要求的金融资产和金融工具，包括但不限于：现金，银行存款，债券回购，同业存单，在银行间市场和交易所发行及交易的国债、金融债、中央银行票据、公司债券、企业债券、非公开定向债务融资工具、可转换债券、可交换债、短期融资券、中期票据、超短期融资券、资产证券化产品，以及其他符合要求的债权类资产等固定收益类资产；依法发行上市的股票（包括打新、定增、配股、融资融券等投融资形式，不含新三板），其他符合监管规定可参与的权益类资产等。各类资产投资比例范围</w:t>
      </w:r>
      <w:r>
        <w:rPr>
          <w:rFonts w:ascii="Times New Roman" w:hAnsi="Times New Roman" w:hint="eastAsia"/>
          <w:bCs/>
          <w:szCs w:val="21"/>
        </w:rPr>
        <w:t>如下：</w:t>
      </w:r>
    </w:p>
    <w:tbl>
      <w:tblPr>
        <w:tblStyle w:val="TableNormal"/>
        <w:tblW w:w="8280" w:type="dxa"/>
        <w:tblInd w:w="5" w:type="dxa"/>
        <w:tblLayout w:type="fixed"/>
        <w:tblLook w:val="04A0" w:firstRow="1" w:lastRow="0" w:firstColumn="1" w:lastColumn="0" w:noHBand="0" w:noVBand="1"/>
      </w:tblPr>
      <w:tblGrid>
        <w:gridCol w:w="5812"/>
        <w:gridCol w:w="2468"/>
      </w:tblGrid>
      <w:tr w:rsidR="000715C0">
        <w:trPr>
          <w:trHeight w:hRule="exact" w:val="365"/>
        </w:trPr>
        <w:tc>
          <w:tcPr>
            <w:tcW w:w="5812" w:type="dxa"/>
            <w:tcBorders>
              <w:top w:val="single" w:sz="4" w:space="0" w:color="auto"/>
              <w:left w:val="single" w:sz="4" w:space="0" w:color="auto"/>
              <w:bottom w:val="single" w:sz="4" w:space="0" w:color="auto"/>
              <w:right w:val="single" w:sz="4" w:space="0" w:color="auto"/>
            </w:tcBorders>
          </w:tcPr>
          <w:bookmarkEnd w:id="11"/>
          <w:bookmarkEnd w:id="12"/>
          <w:p w:rsidR="000715C0" w:rsidRDefault="00CB504C">
            <w:pPr>
              <w:pStyle w:val="TableParagraph"/>
              <w:spacing w:line="276" w:lineRule="auto"/>
              <w:ind w:left="105"/>
              <w:jc w:val="center"/>
              <w:rPr>
                <w:rFonts w:ascii="Times New Roman" w:eastAsia="宋体" w:hAnsi="Times New Roman" w:cs="宋体"/>
                <w:sz w:val="21"/>
                <w:szCs w:val="21"/>
              </w:rPr>
            </w:pPr>
            <w:r>
              <w:rPr>
                <w:rFonts w:ascii="Times New Roman" w:eastAsia="宋体" w:hAnsi="Times New Roman" w:cs="宋体"/>
                <w:sz w:val="21"/>
                <w:szCs w:val="21"/>
              </w:rPr>
              <w:t>投资品种</w:t>
            </w:r>
          </w:p>
        </w:tc>
        <w:tc>
          <w:tcPr>
            <w:tcW w:w="2468" w:type="dxa"/>
            <w:tcBorders>
              <w:top w:val="single" w:sz="4" w:space="0" w:color="auto"/>
              <w:left w:val="single" w:sz="4" w:space="0" w:color="auto"/>
              <w:bottom w:val="single" w:sz="4" w:space="0" w:color="auto"/>
              <w:right w:val="single" w:sz="4" w:space="0" w:color="auto"/>
            </w:tcBorders>
          </w:tcPr>
          <w:p w:rsidR="000715C0" w:rsidRDefault="00CB504C">
            <w:pPr>
              <w:pStyle w:val="TableParagraph"/>
              <w:spacing w:line="276" w:lineRule="auto"/>
              <w:ind w:left="105" w:right="-5"/>
              <w:jc w:val="center"/>
              <w:rPr>
                <w:rFonts w:ascii="Times New Roman" w:eastAsia="宋体" w:hAnsi="Times New Roman" w:cs="宋体"/>
                <w:sz w:val="21"/>
                <w:szCs w:val="21"/>
                <w:lang w:eastAsia="zh-CN"/>
              </w:rPr>
            </w:pPr>
            <w:r>
              <w:rPr>
                <w:rFonts w:ascii="Times New Roman" w:eastAsia="宋体" w:hAnsi="Times New Roman" w:cs="宋体" w:hint="eastAsia"/>
                <w:spacing w:val="-9"/>
                <w:sz w:val="21"/>
                <w:szCs w:val="21"/>
                <w:lang w:eastAsia="zh-CN"/>
              </w:rPr>
              <w:t>投资比例</w:t>
            </w:r>
          </w:p>
        </w:tc>
      </w:tr>
      <w:tr w:rsidR="000715C0">
        <w:trPr>
          <w:trHeight w:hRule="exact" w:val="535"/>
        </w:trPr>
        <w:tc>
          <w:tcPr>
            <w:tcW w:w="5812" w:type="dxa"/>
            <w:tcBorders>
              <w:top w:val="single" w:sz="4" w:space="0" w:color="auto"/>
              <w:left w:val="single" w:sz="4" w:space="0" w:color="auto"/>
              <w:bottom w:val="single" w:sz="4" w:space="0" w:color="auto"/>
              <w:right w:val="single" w:sz="4" w:space="0" w:color="auto"/>
            </w:tcBorders>
          </w:tcPr>
          <w:p w:rsidR="000715C0" w:rsidRDefault="00CB504C">
            <w:pPr>
              <w:pStyle w:val="TableParagraph"/>
              <w:spacing w:line="276" w:lineRule="auto"/>
              <w:ind w:left="105"/>
              <w:jc w:val="center"/>
              <w:rPr>
                <w:rFonts w:ascii="Times New Roman" w:eastAsia="宋体" w:hAnsi="Times New Roman" w:cs="宋体"/>
                <w:sz w:val="21"/>
                <w:szCs w:val="21"/>
              </w:rPr>
            </w:pPr>
            <w:r>
              <w:t>固定收益类资产</w:t>
            </w:r>
          </w:p>
        </w:tc>
        <w:tc>
          <w:tcPr>
            <w:tcW w:w="2468" w:type="dxa"/>
            <w:tcBorders>
              <w:top w:val="single" w:sz="4" w:space="0" w:color="auto"/>
              <w:left w:val="single" w:sz="4" w:space="0" w:color="auto"/>
              <w:bottom w:val="single" w:sz="4" w:space="0" w:color="auto"/>
              <w:right w:val="single" w:sz="4" w:space="0" w:color="auto"/>
            </w:tcBorders>
          </w:tcPr>
          <w:p w:rsidR="000715C0" w:rsidRDefault="00CB504C">
            <w:pPr>
              <w:pStyle w:val="TableParagraph"/>
              <w:spacing w:line="276" w:lineRule="auto"/>
              <w:ind w:left="105"/>
              <w:jc w:val="center"/>
              <w:rPr>
                <w:rFonts w:ascii="Times New Roman" w:eastAsia="宋体" w:hAnsi="Times New Roman" w:cs="宋体"/>
                <w:sz w:val="21"/>
                <w:szCs w:val="21"/>
              </w:rPr>
            </w:pPr>
            <w:r>
              <w:t>80%</w:t>
            </w:r>
            <w:r>
              <w:t>－</w:t>
            </w:r>
            <w:r>
              <w:t>100%</w:t>
            </w:r>
          </w:p>
        </w:tc>
      </w:tr>
      <w:tr w:rsidR="000715C0">
        <w:trPr>
          <w:trHeight w:hRule="exact" w:val="585"/>
        </w:trPr>
        <w:tc>
          <w:tcPr>
            <w:tcW w:w="5812" w:type="dxa"/>
            <w:tcBorders>
              <w:top w:val="single" w:sz="4" w:space="0" w:color="auto"/>
              <w:left w:val="single" w:sz="4" w:space="0" w:color="auto"/>
              <w:bottom w:val="single" w:sz="4" w:space="0" w:color="auto"/>
              <w:right w:val="single" w:sz="4" w:space="0" w:color="auto"/>
            </w:tcBorders>
          </w:tcPr>
          <w:p w:rsidR="000715C0" w:rsidRDefault="00CB504C">
            <w:pPr>
              <w:pStyle w:val="TableParagraph"/>
              <w:spacing w:line="276" w:lineRule="auto"/>
              <w:ind w:left="556"/>
              <w:jc w:val="center"/>
              <w:rPr>
                <w:rFonts w:ascii="Times New Roman" w:eastAsia="宋体" w:hAnsi="Times New Roman" w:cs="宋体"/>
                <w:bCs/>
                <w:sz w:val="21"/>
                <w:szCs w:val="21"/>
                <w:lang w:eastAsia="zh-CN"/>
              </w:rPr>
            </w:pPr>
            <w:r>
              <w:lastRenderedPageBreak/>
              <w:t>权益类资产</w:t>
            </w:r>
          </w:p>
        </w:tc>
        <w:tc>
          <w:tcPr>
            <w:tcW w:w="2468" w:type="dxa"/>
            <w:tcBorders>
              <w:top w:val="single" w:sz="4" w:space="0" w:color="auto"/>
              <w:left w:val="single" w:sz="4" w:space="0" w:color="auto"/>
              <w:bottom w:val="single" w:sz="4" w:space="0" w:color="auto"/>
              <w:right w:val="single" w:sz="4" w:space="0" w:color="auto"/>
            </w:tcBorders>
          </w:tcPr>
          <w:p w:rsidR="000715C0" w:rsidRDefault="00CB504C">
            <w:pPr>
              <w:pStyle w:val="TableParagraph"/>
              <w:spacing w:line="276" w:lineRule="auto"/>
              <w:ind w:left="105"/>
              <w:jc w:val="center"/>
              <w:rPr>
                <w:rFonts w:ascii="Times New Roman" w:eastAsia="宋体" w:hAnsi="Times New Roman" w:cs="宋体"/>
                <w:sz w:val="21"/>
                <w:szCs w:val="21"/>
              </w:rPr>
            </w:pPr>
            <w:r>
              <w:t>0%</w:t>
            </w:r>
            <w:r>
              <w:t>－</w:t>
            </w:r>
            <w:r>
              <w:t>20%</w:t>
            </w:r>
          </w:p>
        </w:tc>
      </w:tr>
    </w:tbl>
    <w:p w:rsidR="000715C0" w:rsidRDefault="00CB504C">
      <w:pPr>
        <w:spacing w:line="276" w:lineRule="auto"/>
        <w:ind w:firstLineChars="200" w:firstLine="420"/>
        <w:rPr>
          <w:rFonts w:ascii="Times New Roman" w:hAnsi="Times New Roman"/>
          <w:bCs/>
          <w:szCs w:val="21"/>
        </w:rPr>
      </w:pPr>
      <w:r>
        <w:rPr>
          <w:rFonts w:ascii="Times New Roman" w:hAnsi="Times New Roman" w:hint="eastAsia"/>
          <w:bCs/>
          <w:szCs w:val="21"/>
        </w:rPr>
        <w:t>渝农商理财有限责任公司有权根据市场情况调整投资范围、投资资产种类或投资比例，并进行相应披露。</w:t>
      </w:r>
      <w:r>
        <w:rPr>
          <w:rStyle w:val="af"/>
          <w:rFonts w:hint="eastAsia"/>
        </w:rPr>
        <w:t>高风险资产类型超出以上投资比例范围的，将先取得投资者同意。</w:t>
      </w:r>
      <w:r>
        <w:rPr>
          <w:rFonts w:ascii="Times New Roman" w:hAnsi="Times New Roman"/>
          <w:bCs/>
          <w:szCs w:val="21"/>
        </w:rPr>
        <w:t>非因</w:t>
      </w:r>
      <w:r>
        <w:rPr>
          <w:rFonts w:ascii="Times New Roman" w:hAnsi="Times New Roman" w:hint="eastAsia"/>
          <w:bCs/>
          <w:szCs w:val="21"/>
        </w:rPr>
        <w:t>渝农商理财有限责任公司</w:t>
      </w:r>
      <w:r>
        <w:rPr>
          <w:rFonts w:ascii="Times New Roman" w:hAnsi="Times New Roman"/>
          <w:bCs/>
          <w:szCs w:val="21"/>
        </w:rPr>
        <w:t>主观因素导致突破前述比例限制的，</w:t>
      </w:r>
      <w:r>
        <w:rPr>
          <w:rFonts w:ascii="Times New Roman" w:hAnsi="Times New Roman" w:hint="eastAsia"/>
          <w:bCs/>
          <w:szCs w:val="21"/>
        </w:rPr>
        <w:t>渝农商理财有限责任公司</w:t>
      </w:r>
      <w:r>
        <w:rPr>
          <w:rFonts w:ascii="Times New Roman" w:hAnsi="Times New Roman"/>
          <w:bCs/>
          <w:szCs w:val="21"/>
        </w:rPr>
        <w:t>将在流动性受限资产可出售、可转让或者恢复交易的</w:t>
      </w:r>
      <w:r>
        <w:rPr>
          <w:rFonts w:ascii="Times New Roman" w:hAnsi="Times New Roman"/>
          <w:bCs/>
          <w:szCs w:val="21"/>
        </w:rPr>
        <w:t>15</w:t>
      </w:r>
      <w:r>
        <w:rPr>
          <w:rFonts w:ascii="Times New Roman" w:hAnsi="Times New Roman"/>
          <w:bCs/>
          <w:szCs w:val="21"/>
        </w:rPr>
        <w:t>个交易日内调整至符合相关要求</w:t>
      </w:r>
      <w:r>
        <w:rPr>
          <w:rFonts w:ascii="Times New Roman" w:hAnsi="Times New Roman" w:hint="eastAsia"/>
          <w:bCs/>
          <w:szCs w:val="21"/>
        </w:rPr>
        <w:t>，法律法规或监管部门另有规定的以其规定为准</w:t>
      </w:r>
      <w:r>
        <w:rPr>
          <w:rFonts w:ascii="Times New Roman" w:hAnsi="Times New Roman"/>
          <w:bCs/>
          <w:szCs w:val="21"/>
        </w:rPr>
        <w:t>。</w:t>
      </w:r>
    </w:p>
    <w:p w:rsidR="000715C0" w:rsidRDefault="00CB504C">
      <w:pPr>
        <w:spacing w:line="276" w:lineRule="auto"/>
        <w:ind w:right="210" w:firstLineChars="200" w:firstLine="420"/>
        <w:rPr>
          <w:rFonts w:ascii="Times New Roman" w:hAnsi="Times New Roman"/>
          <w:bCs/>
          <w:szCs w:val="21"/>
        </w:rPr>
      </w:pPr>
      <w:r>
        <w:rPr>
          <w:rFonts w:ascii="Times New Roman" w:hAnsi="Times New Roman" w:hint="eastAsia"/>
          <w:bCs/>
          <w:szCs w:val="21"/>
        </w:rPr>
        <w:t>本产品为固定收益类产品，本产品的投资市场主要为全国银行间债券市场、证券交易所等流动性较好的规范型交易场所，主要投资对象为具有良好流动性的金融工具，可以支持本产品的投资和应对日常申赎的需要，</w:t>
      </w:r>
      <w:r>
        <w:rPr>
          <w:rFonts w:ascii="Times New Roman" w:hAnsi="Times New Roman" w:hint="eastAsia"/>
          <w:b/>
          <w:szCs w:val="21"/>
        </w:rPr>
        <w:t>综合评估在正常市场环境下本产品的流动性风险适中。极端情况下，存在部分债券、股票等投资品种交投不活跃、成交量不足的情形，特定标的难以以合理价格变现，可能会影响本产品的流动性。</w:t>
      </w:r>
      <w:r>
        <w:rPr>
          <w:rFonts w:ascii="Times New Roman" w:hAnsi="Times New Roman" w:hint="eastAsia"/>
          <w:bCs/>
          <w:szCs w:val="21"/>
        </w:rPr>
        <w:t>产品管理人基于分散投资的原则避免在行业、个券方面具有过高集中度，并结合各类投资标的的预期流动性合理进行资产配置，最大程度防范流动性风险。</w:t>
      </w:r>
      <w:bookmarkStart w:id="13" w:name="_Hlk155865530"/>
    </w:p>
    <w:bookmarkEnd w:id="13"/>
    <w:p w:rsidR="000715C0" w:rsidRDefault="00CB504C">
      <w:pPr>
        <w:spacing w:line="276" w:lineRule="auto"/>
        <w:ind w:firstLineChars="200" w:firstLine="422"/>
        <w:rPr>
          <w:rFonts w:ascii="Times New Roman" w:hAnsi="Times New Roman"/>
          <w:b/>
          <w:szCs w:val="21"/>
        </w:rPr>
      </w:pPr>
      <w:r>
        <w:rPr>
          <w:rFonts w:ascii="Times New Roman" w:hAnsi="Times New Roman" w:hint="eastAsia"/>
          <w:b/>
          <w:szCs w:val="21"/>
        </w:rPr>
        <w:t>特别提示：</w:t>
      </w:r>
    </w:p>
    <w:p w:rsidR="000715C0" w:rsidRDefault="00CB504C">
      <w:pPr>
        <w:spacing w:line="276" w:lineRule="auto"/>
        <w:ind w:firstLineChars="200" w:firstLine="422"/>
        <w:rPr>
          <w:rFonts w:ascii="Times New Roman" w:hAnsi="Times New Roman"/>
          <w:b/>
          <w:bCs/>
          <w:szCs w:val="21"/>
        </w:rPr>
      </w:pPr>
      <w:r>
        <w:rPr>
          <w:rFonts w:ascii="Times New Roman" w:hAnsi="Times New Roman" w:hint="eastAsia"/>
          <w:b/>
          <w:szCs w:val="21"/>
        </w:rPr>
        <w:t>渝</w:t>
      </w:r>
      <w:r>
        <w:rPr>
          <w:rFonts w:ascii="Times New Roman" w:hAnsi="Times New Roman" w:hint="eastAsia"/>
          <w:b/>
          <w:szCs w:val="21"/>
        </w:rPr>
        <w:t>农商理财有限责任公司</w:t>
      </w:r>
      <w:r>
        <w:rPr>
          <w:rFonts w:ascii="Times New Roman" w:hAnsi="Times New Roman" w:hint="eastAsia"/>
          <w:b/>
          <w:bCs/>
          <w:szCs w:val="21"/>
        </w:rPr>
        <w:t>将本着诚实信用、谨慎勤勉的原则，在规定的范围内运用理财资金进行投资，本产品投资的资产面临各类市场风险（详见风险揭示书），渝农商理财有限责任公司不保证理财本金的安全及理财收益的实现。</w:t>
      </w:r>
    </w:p>
    <w:p w:rsidR="000715C0" w:rsidRDefault="00CB504C">
      <w:pPr>
        <w:spacing w:line="276" w:lineRule="auto"/>
        <w:ind w:firstLineChars="200" w:firstLine="422"/>
        <w:outlineLvl w:val="0"/>
        <w:rPr>
          <w:rFonts w:ascii="Times New Roman" w:hAnsi="Times New Roman"/>
          <w:b/>
          <w:bCs/>
          <w:szCs w:val="21"/>
        </w:rPr>
      </w:pPr>
      <w:r>
        <w:rPr>
          <w:rFonts w:ascii="Times New Roman" w:hAnsi="Times New Roman" w:hint="eastAsia"/>
          <w:b/>
          <w:bCs/>
          <w:szCs w:val="21"/>
        </w:rPr>
        <w:t>三、理财产品认购、申购</w:t>
      </w:r>
    </w:p>
    <w:p w:rsidR="000715C0" w:rsidRDefault="00CB504C">
      <w:pPr>
        <w:autoSpaceDE w:val="0"/>
        <w:autoSpaceDN w:val="0"/>
        <w:adjustRightInd w:val="0"/>
        <w:spacing w:line="276" w:lineRule="auto"/>
        <w:ind w:firstLineChars="200" w:firstLine="422"/>
        <w:jc w:val="left"/>
        <w:outlineLvl w:val="0"/>
        <w:rPr>
          <w:rFonts w:ascii="Times New Roman" w:hAnsi="Times New Roman"/>
          <w:b/>
          <w:szCs w:val="21"/>
        </w:rPr>
      </w:pPr>
      <w:r>
        <w:rPr>
          <w:rFonts w:ascii="Times New Roman" w:hAnsi="Times New Roman" w:hint="eastAsia"/>
          <w:b/>
          <w:szCs w:val="21"/>
        </w:rPr>
        <w:t>（一）认购</w:t>
      </w:r>
      <w:r>
        <w:rPr>
          <w:rFonts w:ascii="Times New Roman" w:hAnsi="Times New Roman"/>
          <w:b/>
          <w:szCs w:val="21"/>
        </w:rPr>
        <w:tab/>
      </w:r>
    </w:p>
    <w:p w:rsidR="000715C0" w:rsidRDefault="00CB504C">
      <w:pPr>
        <w:autoSpaceDE w:val="0"/>
        <w:autoSpaceDN w:val="0"/>
        <w:adjustRightInd w:val="0"/>
        <w:spacing w:line="276" w:lineRule="auto"/>
        <w:ind w:firstLineChars="200" w:firstLine="422"/>
        <w:jc w:val="left"/>
        <w:rPr>
          <w:rFonts w:ascii="Times New Roman" w:hAnsi="Times New Roman"/>
          <w:b/>
          <w:szCs w:val="21"/>
        </w:rPr>
      </w:pPr>
      <w:r>
        <w:rPr>
          <w:rFonts w:ascii="Times New Roman" w:hAnsi="Times New Roman"/>
          <w:b/>
          <w:szCs w:val="21"/>
        </w:rPr>
        <w:t>1</w:t>
      </w:r>
      <w:r>
        <w:rPr>
          <w:rFonts w:ascii="Times New Roman" w:hAnsi="Times New Roman" w:hint="eastAsia"/>
          <w:b/>
          <w:szCs w:val="21"/>
        </w:rPr>
        <w:t>、认购费率为</w:t>
      </w:r>
      <w:r>
        <w:rPr>
          <w:rFonts w:ascii="Times New Roman" w:hAnsi="Times New Roman"/>
          <w:b/>
          <w:szCs w:val="21"/>
        </w:rPr>
        <w:t>0</w:t>
      </w:r>
      <w:r>
        <w:rPr>
          <w:rFonts w:ascii="Times New Roman" w:hAnsi="Times New Roman" w:hint="eastAsia"/>
          <w:b/>
          <w:szCs w:val="21"/>
        </w:rPr>
        <w:t>％。</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、认购份额＝</w:t>
      </w:r>
      <w:r>
        <w:rPr>
          <w:rFonts w:ascii="Times New Roman" w:hAnsi="Times New Roman" w:hint="eastAsia"/>
          <w:bCs/>
          <w:szCs w:val="21"/>
        </w:rPr>
        <w:t>[</w:t>
      </w:r>
      <w:r>
        <w:rPr>
          <w:rFonts w:ascii="Times New Roman" w:hAnsi="Times New Roman" w:hint="eastAsia"/>
          <w:bCs/>
          <w:szCs w:val="21"/>
        </w:rPr>
        <w:t>认购金额÷（</w:t>
      </w:r>
      <w:r>
        <w:rPr>
          <w:rFonts w:ascii="Times New Roman" w:hAnsi="Times New Roman"/>
          <w:bCs/>
          <w:szCs w:val="21"/>
        </w:rPr>
        <w:t>1+</w:t>
      </w:r>
      <w:r>
        <w:rPr>
          <w:rFonts w:ascii="Times New Roman" w:hAnsi="Times New Roman"/>
          <w:bCs/>
          <w:szCs w:val="21"/>
        </w:rPr>
        <w:t>认购费率）</w:t>
      </w:r>
      <w:r>
        <w:rPr>
          <w:rFonts w:ascii="Times New Roman" w:hAnsi="Times New Roman" w:hint="eastAsia"/>
          <w:bCs/>
          <w:szCs w:val="21"/>
        </w:rPr>
        <w:t>]</w:t>
      </w:r>
      <w:r>
        <w:rPr>
          <w:rFonts w:ascii="Times New Roman" w:hAnsi="Times New Roman" w:hint="eastAsia"/>
          <w:bCs/>
          <w:szCs w:val="21"/>
        </w:rPr>
        <w:t>÷初始单位净值。认购份额保留至</w:t>
      </w:r>
      <w:r>
        <w:rPr>
          <w:rFonts w:ascii="Times New Roman" w:hAnsi="Times New Roman"/>
          <w:bCs/>
          <w:szCs w:val="21"/>
        </w:rPr>
        <w:t xml:space="preserve">0.01 </w:t>
      </w:r>
      <w:r>
        <w:rPr>
          <w:rFonts w:ascii="Times New Roman" w:hAnsi="Times New Roman" w:hint="eastAsia"/>
          <w:bCs/>
          <w:szCs w:val="21"/>
        </w:rPr>
        <w:t>份，小数点后两位以下四舍五入。</w:t>
      </w:r>
    </w:p>
    <w:p w:rsidR="000715C0" w:rsidRDefault="00CB504C">
      <w:pPr>
        <w:autoSpaceDE w:val="0"/>
        <w:autoSpaceDN w:val="0"/>
        <w:adjustRightInd w:val="0"/>
        <w:spacing w:line="276" w:lineRule="auto"/>
        <w:ind w:firstLineChars="200" w:firstLine="422"/>
        <w:jc w:val="left"/>
        <w:rPr>
          <w:rFonts w:ascii="Times New Roman" w:hAnsi="Times New Roman"/>
          <w:bCs/>
          <w:szCs w:val="21"/>
        </w:rPr>
      </w:pPr>
      <w:r>
        <w:rPr>
          <w:rFonts w:ascii="Times New Roman" w:hAnsi="Times New Roman"/>
          <w:b/>
          <w:szCs w:val="21"/>
        </w:rPr>
        <w:t>3</w:t>
      </w:r>
      <w:r>
        <w:rPr>
          <w:rFonts w:ascii="Times New Roman" w:hAnsi="Times New Roman" w:hint="eastAsia"/>
          <w:b/>
          <w:szCs w:val="21"/>
        </w:rPr>
        <w:t>、认购</w:t>
      </w:r>
      <w:r>
        <w:rPr>
          <w:rFonts w:ascii="Times New Roman" w:hAnsi="Times New Roman" w:hint="eastAsia"/>
          <w:b/>
          <w:szCs w:val="21"/>
        </w:rPr>
        <w:t>申请</w:t>
      </w:r>
      <w:r>
        <w:rPr>
          <w:rFonts w:ascii="Times New Roman" w:hAnsi="Times New Roman" w:hint="eastAsia"/>
          <w:b/>
          <w:szCs w:val="21"/>
        </w:rPr>
        <w:t>日至产品成立日前一自然日，产品管理人不向投资者计付利息</w:t>
      </w:r>
      <w:r>
        <w:rPr>
          <w:rFonts w:ascii="Times New Roman" w:hAnsi="Times New Roman" w:hint="eastAsia"/>
          <w:bCs/>
          <w:szCs w:val="21"/>
        </w:rPr>
        <w:t>。若本产品通过代理销售机构渠道销售的，代理销售机构是否计付利息以代理销售机构为准。</w:t>
      </w:r>
      <w:r>
        <w:rPr>
          <w:rFonts w:ascii="Times New Roman" w:hAnsi="Times New Roman" w:hint="eastAsia"/>
          <w:b/>
          <w:szCs w:val="21"/>
        </w:rPr>
        <w:t>产品成立当天资金不计活期利息。</w:t>
      </w:r>
      <w:r>
        <w:rPr>
          <w:rFonts w:ascii="Times New Roman" w:hAnsi="Times New Roman" w:hint="eastAsia"/>
          <w:bCs/>
          <w:szCs w:val="21"/>
        </w:rPr>
        <w:t>如产品不成立，产品认购期结束日至资金到账日之间，投资者资金不计息。</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bCs/>
          <w:szCs w:val="21"/>
        </w:rPr>
        <w:t>4</w:t>
      </w:r>
      <w:r>
        <w:rPr>
          <w:rFonts w:ascii="Times New Roman" w:hAnsi="Times New Roman" w:hint="eastAsia"/>
          <w:bCs/>
          <w:szCs w:val="21"/>
        </w:rPr>
        <w:t>、认购情况举例：</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假定某投资者在募集期投资</w:t>
      </w:r>
      <w:r>
        <w:rPr>
          <w:rFonts w:ascii="Times New Roman" w:hAnsi="Times New Roman" w:hint="eastAsia"/>
          <w:bCs/>
          <w:szCs w:val="21"/>
        </w:rPr>
        <w:t>50,000.00</w:t>
      </w:r>
      <w:r>
        <w:rPr>
          <w:rFonts w:ascii="Times New Roman" w:hAnsi="Times New Roman" w:hint="eastAsia"/>
          <w:bCs/>
          <w:szCs w:val="21"/>
        </w:rPr>
        <w:t>元认购本产品</w:t>
      </w:r>
      <w:bookmarkStart w:id="14" w:name="_Hlk128659724"/>
      <w:r>
        <w:rPr>
          <w:rFonts w:ascii="Times New Roman" w:hAnsi="Times New Roman" w:hint="eastAsia"/>
          <w:bCs/>
          <w:szCs w:val="21"/>
        </w:rPr>
        <w:t>A</w:t>
      </w:r>
      <w:r>
        <w:rPr>
          <w:rFonts w:ascii="Times New Roman" w:hAnsi="Times New Roman" w:hint="eastAsia"/>
          <w:bCs/>
          <w:szCs w:val="21"/>
        </w:rPr>
        <w:t>份额</w:t>
      </w:r>
      <w:bookmarkEnd w:id="14"/>
      <w:r>
        <w:rPr>
          <w:rFonts w:ascii="Times New Roman" w:hAnsi="Times New Roman" w:hint="eastAsia"/>
          <w:bCs/>
          <w:szCs w:val="21"/>
        </w:rPr>
        <w:t>，则其可得到的认购份额计算如下：</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认购份额＝</w:t>
      </w:r>
      <w:r>
        <w:rPr>
          <w:rFonts w:ascii="Times New Roman" w:hAnsi="Times New Roman" w:hint="eastAsia"/>
          <w:bCs/>
          <w:szCs w:val="21"/>
        </w:rPr>
        <w:t>[50,000.00</w:t>
      </w:r>
      <w:r>
        <w:rPr>
          <w:rFonts w:ascii="Times New Roman" w:hAnsi="Times New Roman" w:hint="eastAsia"/>
          <w:bCs/>
          <w:szCs w:val="21"/>
        </w:rPr>
        <w:t>÷（</w:t>
      </w:r>
      <w:r>
        <w:rPr>
          <w:rFonts w:ascii="Times New Roman" w:hAnsi="Times New Roman" w:hint="eastAsia"/>
          <w:bCs/>
          <w:szCs w:val="21"/>
        </w:rPr>
        <w:t>1+0%</w:t>
      </w:r>
      <w:r>
        <w:rPr>
          <w:rFonts w:ascii="Times New Roman" w:hAnsi="Times New Roman" w:hint="eastAsia"/>
          <w:bCs/>
          <w:szCs w:val="21"/>
        </w:rPr>
        <w:t>）</w:t>
      </w:r>
      <w:r>
        <w:rPr>
          <w:rFonts w:ascii="Times New Roman" w:hAnsi="Times New Roman" w:hint="eastAsia"/>
          <w:bCs/>
          <w:szCs w:val="21"/>
        </w:rPr>
        <w:t>]</w:t>
      </w:r>
      <w:r>
        <w:rPr>
          <w:rFonts w:ascii="Times New Roman" w:hAnsi="Times New Roman" w:hint="eastAsia"/>
          <w:bCs/>
          <w:szCs w:val="21"/>
        </w:rPr>
        <w:t>÷</w:t>
      </w:r>
      <w:r>
        <w:rPr>
          <w:rFonts w:ascii="Times New Roman" w:hAnsi="Times New Roman" w:hint="eastAsia"/>
          <w:bCs/>
          <w:szCs w:val="21"/>
        </w:rPr>
        <w:t>1.00</w:t>
      </w:r>
      <w:r>
        <w:rPr>
          <w:rFonts w:ascii="Times New Roman" w:hAnsi="Times New Roman"/>
          <w:bCs/>
          <w:szCs w:val="21"/>
        </w:rPr>
        <w:t>00</w:t>
      </w:r>
      <w:r>
        <w:rPr>
          <w:rFonts w:ascii="Times New Roman" w:hAnsi="Times New Roman" w:hint="eastAsia"/>
          <w:bCs/>
          <w:szCs w:val="21"/>
        </w:rPr>
        <w:t>＝</w:t>
      </w:r>
      <w:r>
        <w:rPr>
          <w:rFonts w:ascii="Times New Roman" w:hAnsi="Times New Roman" w:hint="eastAsia"/>
          <w:bCs/>
          <w:szCs w:val="21"/>
        </w:rPr>
        <w:t>50,000.00</w:t>
      </w:r>
      <w:r>
        <w:rPr>
          <w:rFonts w:ascii="Times New Roman" w:hAnsi="Times New Roman" w:hint="eastAsia"/>
          <w:bCs/>
          <w:szCs w:val="21"/>
        </w:rPr>
        <w:t>份。</w:t>
      </w:r>
    </w:p>
    <w:p w:rsidR="000715C0" w:rsidRDefault="00CB504C">
      <w:pPr>
        <w:autoSpaceDE w:val="0"/>
        <w:autoSpaceDN w:val="0"/>
        <w:adjustRightInd w:val="0"/>
        <w:spacing w:line="276" w:lineRule="auto"/>
        <w:ind w:firstLineChars="200" w:firstLine="422"/>
        <w:jc w:val="left"/>
        <w:outlineLvl w:val="0"/>
        <w:rPr>
          <w:rFonts w:ascii="Times New Roman" w:hAnsi="Times New Roman"/>
          <w:b/>
          <w:szCs w:val="21"/>
        </w:rPr>
      </w:pPr>
      <w:r>
        <w:rPr>
          <w:rFonts w:ascii="Times New Roman" w:hAnsi="Times New Roman" w:hint="eastAsia"/>
          <w:b/>
          <w:szCs w:val="21"/>
        </w:rPr>
        <w:t>（二）申购</w:t>
      </w:r>
    </w:p>
    <w:p w:rsidR="000715C0" w:rsidRDefault="00CB504C">
      <w:pPr>
        <w:autoSpaceDE w:val="0"/>
        <w:autoSpaceDN w:val="0"/>
        <w:adjustRightInd w:val="0"/>
        <w:spacing w:line="276" w:lineRule="auto"/>
        <w:ind w:firstLineChars="200" w:firstLine="422"/>
        <w:jc w:val="left"/>
        <w:rPr>
          <w:rFonts w:ascii="Times New Roman" w:hAnsi="Times New Roman"/>
          <w:b/>
          <w:szCs w:val="21"/>
        </w:rPr>
      </w:pPr>
      <w:r>
        <w:rPr>
          <w:rFonts w:ascii="Times New Roman" w:hAnsi="Times New Roman"/>
          <w:b/>
          <w:szCs w:val="21"/>
        </w:rPr>
        <w:t>1</w:t>
      </w:r>
      <w:r>
        <w:rPr>
          <w:rFonts w:ascii="Times New Roman" w:hAnsi="Times New Roman" w:hint="eastAsia"/>
          <w:b/>
          <w:szCs w:val="21"/>
        </w:rPr>
        <w:t>、申购费率为</w:t>
      </w:r>
      <w:r>
        <w:rPr>
          <w:rFonts w:ascii="Times New Roman" w:hAnsi="Times New Roman"/>
          <w:b/>
          <w:szCs w:val="21"/>
        </w:rPr>
        <w:t>0</w:t>
      </w:r>
      <w:r>
        <w:rPr>
          <w:rFonts w:ascii="Times New Roman" w:hAnsi="Times New Roman" w:hint="eastAsia"/>
          <w:b/>
          <w:szCs w:val="21"/>
        </w:rPr>
        <w:t>％。</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w:t>
      </w:r>
      <w:r>
        <w:rPr>
          <w:rFonts w:ascii="Times New Roman" w:hAnsi="Times New Roman"/>
          <w:bCs/>
          <w:szCs w:val="21"/>
        </w:rPr>
        <w:t>申购份额</w:t>
      </w:r>
      <w:r>
        <w:rPr>
          <w:rFonts w:ascii="Times New Roman" w:hAnsi="Times New Roman"/>
          <w:bCs/>
          <w:szCs w:val="21"/>
        </w:rPr>
        <w:t>=[</w:t>
      </w:r>
      <w:r>
        <w:rPr>
          <w:rFonts w:ascii="Times New Roman" w:hAnsi="Times New Roman"/>
          <w:bCs/>
          <w:szCs w:val="21"/>
        </w:rPr>
        <w:t>申购金额</w:t>
      </w: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申购费率）</w:t>
      </w:r>
      <w:r>
        <w:rPr>
          <w:rFonts w:ascii="Times New Roman" w:hAnsi="Times New Roman" w:hint="eastAsia"/>
          <w:bCs/>
          <w:szCs w:val="21"/>
        </w:rPr>
        <w:t>]</w:t>
      </w:r>
      <w:r>
        <w:rPr>
          <w:rFonts w:ascii="Times New Roman" w:hAnsi="Times New Roman" w:hint="eastAsia"/>
          <w:bCs/>
          <w:szCs w:val="21"/>
        </w:rPr>
        <w:t>÷开放日</w:t>
      </w:r>
      <w:r>
        <w:rPr>
          <w:rFonts w:ascii="Times New Roman" w:hAnsi="Times New Roman"/>
          <w:bCs/>
          <w:szCs w:val="21"/>
        </w:rPr>
        <w:t>单位净值。</w:t>
      </w:r>
      <w:r>
        <w:rPr>
          <w:rFonts w:ascii="Times New Roman" w:hAnsi="Times New Roman" w:hint="eastAsia"/>
          <w:bCs/>
          <w:szCs w:val="21"/>
        </w:rPr>
        <w:t>申购份额保留至</w:t>
      </w:r>
      <w:r>
        <w:rPr>
          <w:rFonts w:ascii="Times New Roman" w:hAnsi="Times New Roman"/>
          <w:bCs/>
          <w:szCs w:val="21"/>
        </w:rPr>
        <w:t xml:space="preserve">0.01 </w:t>
      </w:r>
      <w:r>
        <w:rPr>
          <w:rFonts w:ascii="Times New Roman" w:hAnsi="Times New Roman" w:hint="eastAsia"/>
          <w:bCs/>
          <w:szCs w:val="21"/>
        </w:rPr>
        <w:t>份，小数点后</w:t>
      </w:r>
      <w:r>
        <w:rPr>
          <w:rFonts w:ascii="Times New Roman" w:hAnsi="Times New Roman" w:hint="eastAsia"/>
          <w:bCs/>
          <w:szCs w:val="21"/>
        </w:rPr>
        <w:t>两位以下四舍五入。</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、本产品采用金额申购的方式，即申购以金额申请。</w:t>
      </w:r>
    </w:p>
    <w:p w:rsidR="000715C0" w:rsidRDefault="00CB504C">
      <w:pPr>
        <w:autoSpaceDE w:val="0"/>
        <w:autoSpaceDN w:val="0"/>
        <w:adjustRightInd w:val="0"/>
        <w:spacing w:line="276" w:lineRule="auto"/>
        <w:ind w:firstLineChars="200" w:firstLine="422"/>
        <w:jc w:val="left"/>
        <w:rPr>
          <w:rFonts w:ascii="Times New Roman" w:hAnsi="Times New Roman"/>
          <w:bCs/>
          <w:szCs w:val="21"/>
        </w:rPr>
      </w:pPr>
      <w:r>
        <w:rPr>
          <w:rFonts w:ascii="Times New Roman" w:hAnsi="Times New Roman"/>
          <w:b/>
          <w:szCs w:val="21"/>
        </w:rPr>
        <w:t>4</w:t>
      </w:r>
      <w:r>
        <w:rPr>
          <w:rFonts w:ascii="Times New Roman" w:hAnsi="Times New Roman" w:hint="eastAsia"/>
          <w:b/>
          <w:szCs w:val="21"/>
        </w:rPr>
        <w:t>、申购</w:t>
      </w:r>
      <w:r>
        <w:rPr>
          <w:rFonts w:ascii="Times New Roman" w:hAnsi="Times New Roman" w:hint="eastAsia"/>
          <w:b/>
          <w:szCs w:val="21"/>
        </w:rPr>
        <w:t>申请</w:t>
      </w:r>
      <w:r>
        <w:rPr>
          <w:rFonts w:ascii="Times New Roman" w:hAnsi="Times New Roman" w:hint="eastAsia"/>
          <w:b/>
          <w:szCs w:val="21"/>
        </w:rPr>
        <w:t>日至申赎确认日前一自然日，产品管理人不向投资者计付利息。</w:t>
      </w:r>
      <w:r>
        <w:rPr>
          <w:rFonts w:ascii="Times New Roman" w:hAnsi="Times New Roman" w:hint="eastAsia"/>
          <w:bCs/>
          <w:szCs w:val="21"/>
        </w:rPr>
        <w:t>若本产品通过代理销售机构渠道销售的，代理销售机构是否计付利息以代理销售机构为准。</w:t>
      </w:r>
      <w:r>
        <w:rPr>
          <w:rFonts w:ascii="Times New Roman" w:hAnsi="Times New Roman" w:hint="eastAsia"/>
          <w:b/>
          <w:szCs w:val="21"/>
        </w:rPr>
        <w:t>申赎</w:t>
      </w:r>
      <w:r>
        <w:rPr>
          <w:rFonts w:ascii="Times New Roman" w:hAnsi="Times New Roman" w:hint="eastAsia"/>
          <w:b/>
          <w:szCs w:val="21"/>
        </w:rPr>
        <w:lastRenderedPageBreak/>
        <w:t>确认日当天资金不计活期利息。</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5</w:t>
      </w:r>
      <w:r>
        <w:rPr>
          <w:rFonts w:ascii="Times New Roman" w:hAnsi="Times New Roman" w:hint="eastAsia"/>
          <w:bCs/>
          <w:szCs w:val="21"/>
        </w:rPr>
        <w:t>、申购情况举例：</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假定某投资者在</w:t>
      </w:r>
      <w:r>
        <w:rPr>
          <w:rFonts w:ascii="Times New Roman" w:hAnsi="Times New Roman" w:hint="eastAsia"/>
          <w:bCs/>
          <w:szCs w:val="21"/>
        </w:rPr>
        <w:t>T</w:t>
      </w:r>
      <w:r>
        <w:rPr>
          <w:rFonts w:ascii="Times New Roman" w:hAnsi="Times New Roman" w:hint="eastAsia"/>
          <w:bCs/>
          <w:szCs w:val="21"/>
        </w:rPr>
        <w:t>日</w:t>
      </w:r>
      <w:bookmarkStart w:id="15" w:name="_Hlk154652413"/>
      <w:r>
        <w:rPr>
          <w:rFonts w:ascii="Times New Roman" w:hAnsi="Times New Roman"/>
          <w:bCs/>
          <w:szCs w:val="21"/>
        </w:rPr>
        <w:t>00:00-15:30</w:t>
      </w:r>
      <w:bookmarkEnd w:id="15"/>
      <w:r>
        <w:rPr>
          <w:rFonts w:ascii="Times New Roman" w:hAnsi="Times New Roman" w:hint="eastAsia"/>
          <w:bCs/>
          <w:szCs w:val="21"/>
        </w:rPr>
        <w:t>投资</w:t>
      </w:r>
      <w:r>
        <w:rPr>
          <w:rFonts w:ascii="Times New Roman" w:hAnsi="Times New Roman" w:hint="eastAsia"/>
          <w:bCs/>
          <w:szCs w:val="21"/>
        </w:rPr>
        <w:t>50,000.00</w:t>
      </w:r>
      <w:r>
        <w:rPr>
          <w:rFonts w:ascii="Times New Roman" w:hAnsi="Times New Roman" w:hint="eastAsia"/>
          <w:bCs/>
          <w:szCs w:val="21"/>
        </w:rPr>
        <w:t>元申购本产品</w:t>
      </w:r>
      <w:r>
        <w:rPr>
          <w:rFonts w:ascii="Times New Roman" w:hAnsi="Times New Roman" w:hint="eastAsia"/>
          <w:bCs/>
          <w:szCs w:val="21"/>
        </w:rPr>
        <w:t>A</w:t>
      </w:r>
      <w:r>
        <w:rPr>
          <w:rFonts w:ascii="Times New Roman" w:hAnsi="Times New Roman" w:hint="eastAsia"/>
          <w:bCs/>
          <w:szCs w:val="21"/>
        </w:rPr>
        <w:t>份额，当日本产品</w:t>
      </w:r>
      <w:r>
        <w:rPr>
          <w:rFonts w:ascii="Times New Roman" w:hAnsi="Times New Roman"/>
          <w:bCs/>
          <w:szCs w:val="21"/>
        </w:rPr>
        <w:t>A</w:t>
      </w:r>
      <w:r>
        <w:rPr>
          <w:rFonts w:ascii="Times New Roman" w:hAnsi="Times New Roman" w:hint="eastAsia"/>
          <w:bCs/>
          <w:szCs w:val="21"/>
        </w:rPr>
        <w:t>份额单位净值为</w:t>
      </w:r>
      <w:r>
        <w:rPr>
          <w:rFonts w:ascii="Times New Roman" w:hAnsi="Times New Roman" w:hint="eastAsia"/>
          <w:bCs/>
          <w:szCs w:val="21"/>
        </w:rPr>
        <w:t>1.0100</w:t>
      </w:r>
      <w:r>
        <w:rPr>
          <w:rFonts w:ascii="Times New Roman" w:hAnsi="Times New Roman" w:hint="eastAsia"/>
          <w:bCs/>
          <w:szCs w:val="21"/>
        </w:rPr>
        <w:t>，则其可得到的申购份额计算如下：</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申购份额＝</w:t>
      </w:r>
      <w:r>
        <w:rPr>
          <w:rFonts w:ascii="Times New Roman" w:hAnsi="Times New Roman" w:hint="eastAsia"/>
          <w:bCs/>
          <w:szCs w:val="21"/>
        </w:rPr>
        <w:t>[50,000.00</w:t>
      </w:r>
      <w:r>
        <w:rPr>
          <w:rFonts w:ascii="Times New Roman" w:hAnsi="Times New Roman" w:hint="eastAsia"/>
          <w:bCs/>
          <w:szCs w:val="21"/>
        </w:rPr>
        <w:t>÷（</w:t>
      </w:r>
      <w:r>
        <w:rPr>
          <w:rFonts w:ascii="Times New Roman" w:hAnsi="Times New Roman" w:hint="eastAsia"/>
          <w:bCs/>
          <w:szCs w:val="21"/>
        </w:rPr>
        <w:t>1+0%</w:t>
      </w:r>
      <w:r>
        <w:rPr>
          <w:rFonts w:ascii="Times New Roman" w:hAnsi="Times New Roman" w:hint="eastAsia"/>
          <w:bCs/>
          <w:szCs w:val="21"/>
        </w:rPr>
        <w:t>）</w:t>
      </w:r>
      <w:r>
        <w:rPr>
          <w:rFonts w:ascii="Times New Roman" w:hAnsi="Times New Roman" w:hint="eastAsia"/>
          <w:bCs/>
          <w:szCs w:val="21"/>
        </w:rPr>
        <w:t>]</w:t>
      </w:r>
      <w:r>
        <w:rPr>
          <w:rFonts w:ascii="Times New Roman" w:hAnsi="Times New Roman" w:hint="eastAsia"/>
          <w:bCs/>
          <w:szCs w:val="21"/>
        </w:rPr>
        <w:t>÷</w:t>
      </w:r>
      <w:r>
        <w:rPr>
          <w:rFonts w:ascii="Times New Roman" w:hAnsi="Times New Roman" w:hint="eastAsia"/>
          <w:bCs/>
          <w:szCs w:val="21"/>
        </w:rPr>
        <w:t>1.0100</w:t>
      </w:r>
      <w:r>
        <w:rPr>
          <w:rFonts w:ascii="Times New Roman" w:hAnsi="Times New Roman" w:hint="eastAsia"/>
          <w:bCs/>
          <w:szCs w:val="21"/>
        </w:rPr>
        <w:t>＝</w:t>
      </w:r>
      <w:r>
        <w:rPr>
          <w:rFonts w:ascii="Times New Roman" w:hAnsi="Times New Roman" w:hint="eastAsia"/>
          <w:bCs/>
          <w:szCs w:val="21"/>
        </w:rPr>
        <w:t>49,504.95</w:t>
      </w:r>
      <w:r>
        <w:rPr>
          <w:rFonts w:ascii="Times New Roman" w:hAnsi="Times New Roman" w:hint="eastAsia"/>
          <w:bCs/>
          <w:szCs w:val="21"/>
        </w:rPr>
        <w:t>份。</w:t>
      </w:r>
    </w:p>
    <w:p w:rsidR="000715C0" w:rsidRDefault="00CB504C">
      <w:pPr>
        <w:spacing w:line="276" w:lineRule="auto"/>
        <w:ind w:firstLineChars="100" w:firstLine="211"/>
        <w:outlineLvl w:val="0"/>
        <w:rPr>
          <w:rFonts w:ascii="Times New Roman" w:hAnsi="Times New Roman"/>
          <w:b/>
          <w:szCs w:val="21"/>
        </w:rPr>
      </w:pPr>
      <w:r>
        <w:rPr>
          <w:rFonts w:ascii="Times New Roman" w:hAnsi="Times New Roman" w:hint="eastAsia"/>
          <w:b/>
          <w:szCs w:val="21"/>
        </w:rPr>
        <w:t>（三）拒绝或暂停申购的情形、处理方式和程序</w:t>
      </w:r>
    </w:p>
    <w:p w:rsidR="000715C0" w:rsidRDefault="00CB504C">
      <w:pPr>
        <w:numPr>
          <w:ilvl w:val="255"/>
          <w:numId w:val="0"/>
        </w:numPr>
        <w:spacing w:line="276" w:lineRule="auto"/>
        <w:ind w:firstLineChars="150" w:firstLine="315"/>
        <w:rPr>
          <w:rFonts w:ascii="Times New Roman" w:hAnsi="Times New Roman"/>
          <w:b/>
          <w:szCs w:val="21"/>
        </w:rPr>
      </w:pPr>
      <w:r>
        <w:rPr>
          <w:rFonts w:ascii="Times New Roman" w:hAnsi="Times New Roman" w:hint="eastAsia"/>
          <w:bCs/>
          <w:szCs w:val="21"/>
        </w:rPr>
        <w:t>当接受申购申请可能对理财产品存量投资者利益构成潜在重大不利影响时，或者基于投资运作与风险控制需要，产品管理人将</w:t>
      </w:r>
      <w:r>
        <w:t>依照严格审批、审慎决策的原则，及时有效地对风险进行监测和评估，并与产品托管人协商一致后</w:t>
      </w:r>
      <w:r>
        <w:rPr>
          <w:rFonts w:ascii="Times New Roman" w:hAnsi="Times New Roman" w:hint="eastAsia"/>
          <w:bCs/>
          <w:szCs w:val="21"/>
        </w:rPr>
        <w:t>，有权采取拒绝或暂停申购等措施，以及监管机构规定的其他措施，切实保护存量产品份额持有人的合法权益。</w:t>
      </w:r>
      <w:r>
        <w:rPr>
          <w:rFonts w:ascii="Times New Roman" w:hAnsi="Times New Roman" w:hint="eastAsia"/>
          <w:b/>
          <w:szCs w:val="21"/>
        </w:rPr>
        <w:t>发生下列情况时，产品管理人可拒绝或暂停接受投资者的申购申请：</w:t>
      </w:r>
    </w:p>
    <w:p w:rsidR="000715C0" w:rsidRDefault="00CB504C">
      <w:pPr>
        <w:numPr>
          <w:ilvl w:val="255"/>
          <w:numId w:val="0"/>
        </w:numPr>
        <w:spacing w:line="276" w:lineRule="auto"/>
        <w:ind w:firstLineChars="200" w:firstLine="422"/>
        <w:rPr>
          <w:rFonts w:ascii="Times New Roman" w:hAnsi="Times New Roman"/>
          <w:b/>
          <w:szCs w:val="21"/>
        </w:rPr>
      </w:pPr>
      <w:r>
        <w:rPr>
          <w:rFonts w:ascii="Times New Roman" w:hAnsi="Times New Roman"/>
          <w:b/>
          <w:szCs w:val="21"/>
        </w:rPr>
        <w:t>1</w:t>
      </w:r>
      <w:r>
        <w:rPr>
          <w:rFonts w:ascii="Times New Roman" w:hAnsi="Times New Roman" w:hint="eastAsia"/>
          <w:b/>
          <w:szCs w:val="21"/>
        </w:rPr>
        <w:t>、因不可抗力导致理财产品无法正常运作；</w:t>
      </w:r>
    </w:p>
    <w:p w:rsidR="000715C0" w:rsidRDefault="00CB504C">
      <w:pPr>
        <w:numPr>
          <w:ilvl w:val="255"/>
          <w:numId w:val="0"/>
        </w:numPr>
        <w:spacing w:line="276" w:lineRule="auto"/>
        <w:ind w:firstLineChars="200" w:firstLine="42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、产品管理人和产品托管人的技术保障等异常情况导致理财销售系统或会计系</w:t>
      </w:r>
      <w:r>
        <w:rPr>
          <w:rFonts w:ascii="Times New Roman" w:hAnsi="Times New Roman" w:hint="eastAsia"/>
          <w:bCs/>
          <w:szCs w:val="21"/>
        </w:rPr>
        <w:t>统无法正常运行；</w:t>
      </w:r>
    </w:p>
    <w:p w:rsidR="000715C0" w:rsidRDefault="00CB504C">
      <w:pPr>
        <w:numPr>
          <w:ilvl w:val="255"/>
          <w:numId w:val="0"/>
        </w:numPr>
        <w:spacing w:line="276" w:lineRule="auto"/>
        <w:ind w:firstLineChars="200" w:firstLine="420"/>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、发生暂停理财资产估值情况时，产品管理人可暂停接受投资者的申购申请；</w:t>
      </w:r>
    </w:p>
    <w:p w:rsidR="000715C0" w:rsidRDefault="00CB504C">
      <w:pPr>
        <w:numPr>
          <w:ilvl w:val="255"/>
          <w:numId w:val="0"/>
        </w:numPr>
        <w:spacing w:line="276" w:lineRule="auto"/>
        <w:ind w:firstLineChars="200" w:firstLine="420"/>
        <w:rPr>
          <w:rFonts w:ascii="Times New Roman" w:hAnsi="Times New Roman"/>
          <w:bCs/>
          <w:szCs w:val="21"/>
        </w:rPr>
      </w:pPr>
      <w:r>
        <w:rPr>
          <w:rFonts w:ascii="Times New Roman" w:hAnsi="Times New Roman" w:hint="eastAsia"/>
          <w:bCs/>
          <w:szCs w:val="21"/>
        </w:rPr>
        <w:t>4</w:t>
      </w:r>
      <w:r>
        <w:rPr>
          <w:rFonts w:ascii="Times New Roman" w:hAnsi="Times New Roman" w:hint="eastAsia"/>
          <w:bCs/>
          <w:szCs w:val="21"/>
        </w:rPr>
        <w:t>、证券交易所或银行间市场在交易时间非正常停市，导致产品管理人无法计算当日理财资产净值；</w:t>
      </w:r>
    </w:p>
    <w:p w:rsidR="000715C0" w:rsidRDefault="00CB504C">
      <w:pPr>
        <w:numPr>
          <w:ilvl w:val="255"/>
          <w:numId w:val="0"/>
        </w:numPr>
        <w:spacing w:line="276" w:lineRule="auto"/>
        <w:ind w:firstLineChars="200" w:firstLine="420"/>
        <w:rPr>
          <w:rFonts w:ascii="Times New Roman" w:hAnsi="Times New Roman"/>
          <w:bCs/>
          <w:szCs w:val="21"/>
        </w:rPr>
      </w:pPr>
      <w:r>
        <w:rPr>
          <w:rFonts w:ascii="Times New Roman" w:hAnsi="Times New Roman" w:hint="eastAsia"/>
          <w:bCs/>
          <w:szCs w:val="21"/>
        </w:rPr>
        <w:t>5</w:t>
      </w:r>
      <w:r>
        <w:rPr>
          <w:rFonts w:ascii="Times New Roman" w:hAnsi="Times New Roman" w:hint="eastAsia"/>
          <w:bCs/>
          <w:szCs w:val="21"/>
        </w:rPr>
        <w:t>、其他可能对本产品运作或流动性产生负面影响，产品管理人认为可能损害现有产品份额持有人利益的情况；</w:t>
      </w:r>
    </w:p>
    <w:p w:rsidR="000715C0" w:rsidRDefault="00CB504C">
      <w:pPr>
        <w:numPr>
          <w:ilvl w:val="255"/>
          <w:numId w:val="0"/>
        </w:numPr>
        <w:spacing w:line="276" w:lineRule="auto"/>
        <w:ind w:firstLineChars="200" w:firstLine="420"/>
        <w:rPr>
          <w:rFonts w:ascii="Times New Roman" w:hAnsi="Times New Roman"/>
          <w:bCs/>
          <w:szCs w:val="21"/>
        </w:rPr>
      </w:pPr>
      <w:r>
        <w:rPr>
          <w:rFonts w:ascii="Times New Roman" w:hAnsi="Times New Roman" w:hint="eastAsia"/>
          <w:bCs/>
          <w:szCs w:val="21"/>
        </w:rPr>
        <w:t>6</w:t>
      </w:r>
      <w:r>
        <w:rPr>
          <w:rFonts w:ascii="Times New Roman" w:hAnsi="Times New Roman" w:hint="eastAsia"/>
          <w:bCs/>
          <w:szCs w:val="21"/>
        </w:rPr>
        <w:t>、法律法规规定或监管机构认定的其他情形。</w:t>
      </w:r>
    </w:p>
    <w:p w:rsidR="000715C0" w:rsidRDefault="00CB504C">
      <w:pPr>
        <w:autoSpaceDE w:val="0"/>
        <w:autoSpaceDN w:val="0"/>
        <w:adjustRightInd w:val="0"/>
        <w:spacing w:line="276" w:lineRule="auto"/>
        <w:ind w:firstLineChars="200" w:firstLine="422"/>
        <w:jc w:val="left"/>
        <w:outlineLvl w:val="0"/>
        <w:rPr>
          <w:rFonts w:ascii="Times New Roman" w:hAnsi="Times New Roman"/>
          <w:b/>
          <w:bCs/>
          <w:szCs w:val="21"/>
        </w:rPr>
      </w:pPr>
      <w:r>
        <w:rPr>
          <w:rFonts w:ascii="Times New Roman" w:hAnsi="Times New Roman" w:hint="eastAsia"/>
          <w:b/>
          <w:bCs/>
          <w:szCs w:val="21"/>
        </w:rPr>
        <w:t>四、理财产品赎回、产品终止</w:t>
      </w:r>
      <w:r>
        <w:rPr>
          <w:rFonts w:ascii="Times New Roman" w:hAnsi="Times New Roman" w:hint="eastAsia"/>
          <w:b/>
          <w:bCs/>
          <w:szCs w:val="21"/>
        </w:rPr>
        <w:t xml:space="preserve"> </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（一）赎回</w:t>
      </w:r>
    </w:p>
    <w:p w:rsidR="000715C0" w:rsidRDefault="00CB504C">
      <w:pPr>
        <w:autoSpaceDE w:val="0"/>
        <w:autoSpaceDN w:val="0"/>
        <w:adjustRightInd w:val="0"/>
        <w:spacing w:line="276" w:lineRule="auto"/>
        <w:ind w:firstLineChars="200" w:firstLine="422"/>
        <w:jc w:val="left"/>
        <w:rPr>
          <w:rFonts w:ascii="Times New Roman" w:hAnsi="Times New Roman"/>
          <w:b/>
          <w:szCs w:val="21"/>
        </w:rPr>
      </w:pPr>
      <w:r>
        <w:rPr>
          <w:rFonts w:ascii="Times New Roman" w:hAnsi="Times New Roman"/>
          <w:b/>
          <w:szCs w:val="21"/>
        </w:rPr>
        <w:t>1</w:t>
      </w:r>
      <w:r>
        <w:rPr>
          <w:rFonts w:ascii="Times New Roman" w:hAnsi="Times New Roman" w:hint="eastAsia"/>
          <w:b/>
          <w:szCs w:val="21"/>
        </w:rPr>
        <w:t>、赎回费率为</w:t>
      </w:r>
      <w:r>
        <w:rPr>
          <w:rFonts w:ascii="Times New Roman" w:hAnsi="Times New Roman"/>
          <w:b/>
          <w:szCs w:val="21"/>
        </w:rPr>
        <w:t>0%</w:t>
      </w:r>
      <w:r>
        <w:rPr>
          <w:rFonts w:ascii="Times New Roman" w:hAnsi="Times New Roman" w:hint="eastAsia"/>
          <w:b/>
          <w:szCs w:val="21"/>
        </w:rPr>
        <w:t>。</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、本产品采用份额赎回的方式，即赎回以份额申请。</w:t>
      </w:r>
      <w:r>
        <w:rPr>
          <w:rFonts w:ascii="Times New Roman" w:hAnsi="Times New Roman"/>
          <w:bCs/>
          <w:szCs w:val="21"/>
        </w:rPr>
        <w:t>如果份额持有人某笔赎回将导致其持有的本产品</w:t>
      </w:r>
      <w:bookmarkStart w:id="16" w:name="_Hlk128678857"/>
      <w:r>
        <w:rPr>
          <w:rFonts w:ascii="Times New Roman" w:hAnsi="Times New Roman" w:hint="eastAsia"/>
          <w:bCs/>
          <w:szCs w:val="21"/>
        </w:rPr>
        <w:t>某一份额类别</w:t>
      </w:r>
      <w:bookmarkEnd w:id="16"/>
      <w:r>
        <w:rPr>
          <w:rFonts w:ascii="Times New Roman" w:hAnsi="Times New Roman"/>
          <w:bCs/>
          <w:szCs w:val="21"/>
        </w:rPr>
        <w:t>份额不足</w:t>
      </w:r>
      <w:bookmarkStart w:id="17" w:name="_Hlk128678867"/>
      <w:bookmarkStart w:id="18" w:name="_Hlk38478815"/>
      <w:r>
        <w:rPr>
          <w:rFonts w:ascii="Times New Roman" w:hAnsi="Times New Roman" w:hint="eastAsia"/>
          <w:bCs/>
          <w:szCs w:val="21"/>
        </w:rPr>
        <w:t>该份额类别</w:t>
      </w:r>
      <w:bookmarkEnd w:id="17"/>
      <w:r>
        <w:rPr>
          <w:rFonts w:ascii="Times New Roman" w:hAnsi="Times New Roman" w:hint="eastAsia"/>
          <w:bCs/>
          <w:szCs w:val="21"/>
        </w:rPr>
        <w:t>最低保留份额</w:t>
      </w:r>
      <w:r>
        <w:rPr>
          <w:rFonts w:ascii="Times New Roman" w:hAnsi="Times New Roman"/>
          <w:bCs/>
          <w:szCs w:val="21"/>
        </w:rPr>
        <w:t>的</w:t>
      </w:r>
      <w:bookmarkEnd w:id="18"/>
      <w:r>
        <w:rPr>
          <w:rFonts w:ascii="Times New Roman" w:hAnsi="Times New Roman"/>
          <w:bCs/>
          <w:szCs w:val="21"/>
        </w:rPr>
        <w:t>，在赎回时需一次全部赎回</w:t>
      </w:r>
      <w:r>
        <w:rPr>
          <w:rFonts w:ascii="Times New Roman" w:hAnsi="Times New Roman" w:hint="eastAsia"/>
          <w:bCs/>
          <w:szCs w:val="21"/>
        </w:rPr>
        <w:t>该份额类别</w:t>
      </w:r>
      <w:r>
        <w:rPr>
          <w:rFonts w:ascii="Times New Roman" w:hAnsi="Times New Roman"/>
          <w:bCs/>
          <w:szCs w:val="21"/>
        </w:rPr>
        <w:t>。</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、赎回金额＝赎回份额×开放日单位净值×（</w:t>
      </w:r>
      <w:r>
        <w:rPr>
          <w:rFonts w:ascii="Times New Roman" w:hAnsi="Times New Roman" w:hint="eastAsia"/>
          <w:bCs/>
          <w:szCs w:val="21"/>
        </w:rPr>
        <w:t>1-</w:t>
      </w:r>
      <w:r>
        <w:rPr>
          <w:rFonts w:ascii="Times New Roman" w:hAnsi="Times New Roman" w:hint="eastAsia"/>
          <w:bCs/>
          <w:szCs w:val="21"/>
        </w:rPr>
        <w:t>赎回费率）。赎回金额保留至</w:t>
      </w:r>
      <w:r>
        <w:rPr>
          <w:rFonts w:ascii="Times New Roman" w:hAnsi="Times New Roman"/>
          <w:bCs/>
          <w:szCs w:val="21"/>
        </w:rPr>
        <w:t>0.01</w:t>
      </w:r>
      <w:r>
        <w:rPr>
          <w:rFonts w:ascii="Times New Roman" w:hAnsi="Times New Roman"/>
          <w:bCs/>
          <w:szCs w:val="21"/>
        </w:rPr>
        <w:t>元</w:t>
      </w:r>
      <w:r>
        <w:rPr>
          <w:rFonts w:ascii="Times New Roman" w:hAnsi="Times New Roman" w:hint="eastAsia"/>
          <w:bCs/>
          <w:szCs w:val="21"/>
        </w:rPr>
        <w:t>，小数点后两位以下四舍五入。</w:t>
      </w:r>
    </w:p>
    <w:p w:rsidR="000715C0" w:rsidRDefault="00CB504C">
      <w:pPr>
        <w:autoSpaceDE w:val="0"/>
        <w:autoSpaceDN w:val="0"/>
        <w:adjustRightInd w:val="0"/>
        <w:spacing w:line="276" w:lineRule="auto"/>
        <w:ind w:firstLineChars="200" w:firstLine="422"/>
        <w:jc w:val="left"/>
        <w:rPr>
          <w:rFonts w:ascii="Times New Roman" w:hAnsi="Times New Roman"/>
          <w:b/>
          <w:szCs w:val="21"/>
        </w:rPr>
      </w:pPr>
      <w:r>
        <w:rPr>
          <w:rFonts w:ascii="Times New Roman" w:hAnsi="Times New Roman"/>
          <w:b/>
          <w:szCs w:val="21"/>
        </w:rPr>
        <w:t>4</w:t>
      </w:r>
      <w:r>
        <w:rPr>
          <w:rFonts w:ascii="Times New Roman" w:hAnsi="Times New Roman" w:hint="eastAsia"/>
          <w:b/>
          <w:szCs w:val="21"/>
        </w:rPr>
        <w:t>、赎回确认日至资金到账日，投资者赎回金额不计息。</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bCs/>
          <w:szCs w:val="21"/>
        </w:rPr>
        <w:t>5</w:t>
      </w:r>
      <w:r>
        <w:rPr>
          <w:rFonts w:ascii="Times New Roman" w:hAnsi="Times New Roman" w:hint="eastAsia"/>
          <w:bCs/>
          <w:szCs w:val="21"/>
        </w:rPr>
        <w:t>、赎回情况举例：</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假定某投资者持有</w:t>
      </w:r>
      <w:r>
        <w:rPr>
          <w:rFonts w:ascii="Times New Roman" w:hAnsi="Times New Roman"/>
          <w:bCs/>
          <w:szCs w:val="21"/>
        </w:rPr>
        <w:t>10</w:t>
      </w:r>
      <w:r>
        <w:rPr>
          <w:rFonts w:ascii="Times New Roman" w:hAnsi="Times New Roman" w:hint="eastAsia"/>
          <w:bCs/>
          <w:szCs w:val="21"/>
        </w:rPr>
        <w:t>0,000.00</w:t>
      </w:r>
      <w:r>
        <w:rPr>
          <w:rFonts w:ascii="Times New Roman" w:hAnsi="Times New Roman" w:hint="eastAsia"/>
          <w:bCs/>
          <w:szCs w:val="21"/>
        </w:rPr>
        <w:t>份本产品</w:t>
      </w:r>
      <w:bookmarkStart w:id="19" w:name="_Hlk128678891"/>
      <w:r>
        <w:rPr>
          <w:rFonts w:ascii="Times New Roman" w:hAnsi="Times New Roman"/>
          <w:bCs/>
          <w:szCs w:val="21"/>
        </w:rPr>
        <w:t>A</w:t>
      </w:r>
      <w:r>
        <w:rPr>
          <w:rFonts w:ascii="Times New Roman" w:hAnsi="Times New Roman" w:hint="eastAsia"/>
          <w:bCs/>
          <w:szCs w:val="21"/>
        </w:rPr>
        <w:t>份额</w:t>
      </w:r>
      <w:bookmarkEnd w:id="19"/>
      <w:r>
        <w:rPr>
          <w:rFonts w:ascii="Times New Roman" w:hAnsi="Times New Roman" w:hint="eastAsia"/>
          <w:bCs/>
          <w:szCs w:val="21"/>
        </w:rPr>
        <w:t>，于开放日</w:t>
      </w:r>
      <w:bookmarkStart w:id="20" w:name="_Hlk154651921"/>
      <w:r>
        <w:rPr>
          <w:rFonts w:ascii="Times New Roman" w:hAnsi="Times New Roman"/>
          <w:bCs/>
          <w:szCs w:val="21"/>
        </w:rPr>
        <w:t>00:00-15:30</w:t>
      </w:r>
      <w:bookmarkEnd w:id="20"/>
      <w:r>
        <w:rPr>
          <w:rFonts w:ascii="Times New Roman" w:hAnsi="Times New Roman" w:hint="eastAsia"/>
          <w:bCs/>
          <w:szCs w:val="21"/>
        </w:rPr>
        <w:t>全额赎回，当日本产品</w:t>
      </w:r>
      <w:bookmarkStart w:id="21" w:name="_Hlk128681141"/>
      <w:r>
        <w:rPr>
          <w:rFonts w:ascii="Times New Roman" w:hAnsi="Times New Roman"/>
          <w:bCs/>
          <w:szCs w:val="21"/>
        </w:rPr>
        <w:t>A</w:t>
      </w:r>
      <w:r>
        <w:rPr>
          <w:rFonts w:ascii="Times New Roman" w:hAnsi="Times New Roman" w:hint="eastAsia"/>
          <w:bCs/>
          <w:szCs w:val="21"/>
        </w:rPr>
        <w:t>份额</w:t>
      </w:r>
      <w:bookmarkEnd w:id="21"/>
      <w:r>
        <w:rPr>
          <w:rFonts w:ascii="Times New Roman" w:hAnsi="Times New Roman" w:hint="eastAsia"/>
          <w:bCs/>
          <w:szCs w:val="21"/>
        </w:rPr>
        <w:t>单位净值为</w:t>
      </w:r>
      <w:r>
        <w:rPr>
          <w:rFonts w:ascii="Times New Roman" w:hAnsi="Times New Roman" w:hint="eastAsia"/>
          <w:bCs/>
          <w:szCs w:val="21"/>
        </w:rPr>
        <w:t>1.0100</w:t>
      </w:r>
      <w:r>
        <w:rPr>
          <w:rFonts w:ascii="Times New Roman" w:hAnsi="Times New Roman" w:hint="eastAsia"/>
          <w:bCs/>
          <w:szCs w:val="21"/>
        </w:rPr>
        <w:t>，则申赎确认日确认的赎回金额计算如下：</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赎回金额</w:t>
      </w:r>
      <w:r>
        <w:rPr>
          <w:rFonts w:ascii="Times New Roman" w:hAnsi="Times New Roman" w:hint="eastAsia"/>
          <w:bCs/>
          <w:szCs w:val="21"/>
        </w:rPr>
        <w:t>=</w:t>
      </w:r>
      <w:r>
        <w:rPr>
          <w:rFonts w:ascii="Times New Roman" w:hAnsi="Times New Roman"/>
          <w:bCs/>
          <w:szCs w:val="21"/>
        </w:rPr>
        <w:t>10</w:t>
      </w:r>
      <w:r>
        <w:rPr>
          <w:rFonts w:ascii="Times New Roman" w:hAnsi="Times New Roman" w:hint="eastAsia"/>
          <w:bCs/>
          <w:szCs w:val="21"/>
        </w:rPr>
        <w:t>0,000.00</w:t>
      </w:r>
      <w:r>
        <w:rPr>
          <w:rFonts w:ascii="Times New Roman" w:hAnsi="Times New Roman" w:hint="eastAsia"/>
          <w:bCs/>
          <w:szCs w:val="21"/>
        </w:rPr>
        <w:t>×</w:t>
      </w:r>
      <w:r>
        <w:rPr>
          <w:rFonts w:ascii="Times New Roman" w:hAnsi="Times New Roman" w:hint="eastAsia"/>
          <w:bCs/>
          <w:szCs w:val="21"/>
        </w:rPr>
        <w:t>1.0100</w:t>
      </w:r>
      <w:r>
        <w:rPr>
          <w:rFonts w:ascii="Times New Roman" w:hAnsi="Times New Roman" w:hint="eastAsia"/>
          <w:bCs/>
          <w:szCs w:val="21"/>
        </w:rPr>
        <w:t>×（</w:t>
      </w:r>
      <w:r>
        <w:rPr>
          <w:rFonts w:ascii="Times New Roman" w:hAnsi="Times New Roman" w:hint="eastAsia"/>
          <w:bCs/>
          <w:szCs w:val="21"/>
        </w:rPr>
        <w:t>1-0%</w:t>
      </w:r>
      <w:r>
        <w:rPr>
          <w:rFonts w:ascii="Times New Roman" w:hAnsi="Times New Roman" w:hint="eastAsia"/>
          <w:bCs/>
          <w:szCs w:val="21"/>
        </w:rPr>
        <w:t>）</w:t>
      </w:r>
      <w:r>
        <w:rPr>
          <w:rFonts w:ascii="Times New Roman" w:hAnsi="Times New Roman" w:hint="eastAsia"/>
          <w:bCs/>
          <w:szCs w:val="21"/>
        </w:rPr>
        <w:t>=</w:t>
      </w:r>
      <w:r>
        <w:rPr>
          <w:rFonts w:ascii="Times New Roman" w:hAnsi="Times New Roman"/>
          <w:bCs/>
          <w:szCs w:val="21"/>
        </w:rPr>
        <w:t>101</w:t>
      </w:r>
      <w:r>
        <w:rPr>
          <w:rFonts w:ascii="Times New Roman" w:hAnsi="Times New Roman" w:hint="eastAsia"/>
          <w:bCs/>
          <w:szCs w:val="21"/>
        </w:rPr>
        <w:t>,000.00</w:t>
      </w:r>
      <w:r>
        <w:rPr>
          <w:rFonts w:ascii="Times New Roman" w:hAnsi="Times New Roman" w:hint="eastAsia"/>
          <w:bCs/>
          <w:szCs w:val="21"/>
        </w:rPr>
        <w:t>元</w:t>
      </w:r>
    </w:p>
    <w:p w:rsidR="000715C0" w:rsidRDefault="00CB504C">
      <w:pPr>
        <w:spacing w:line="276" w:lineRule="auto"/>
        <w:ind w:firstLineChars="200" w:firstLine="422"/>
        <w:outlineLvl w:val="0"/>
        <w:rPr>
          <w:rFonts w:ascii="Times New Roman" w:hAnsi="Times New Roman"/>
          <w:b/>
          <w:szCs w:val="21"/>
        </w:rPr>
      </w:pPr>
      <w:r>
        <w:rPr>
          <w:rFonts w:ascii="Times New Roman" w:hAnsi="Times New Roman" w:hint="eastAsia"/>
          <w:b/>
          <w:szCs w:val="21"/>
        </w:rPr>
        <w:t>（二）暂停赎回或延缓支付赎回款项的情形、处理方式和程序</w:t>
      </w:r>
    </w:p>
    <w:p w:rsidR="000715C0" w:rsidRDefault="00CB504C">
      <w:pPr>
        <w:spacing w:line="276" w:lineRule="auto"/>
        <w:ind w:firstLineChars="200" w:firstLine="420"/>
        <w:outlineLvl w:val="0"/>
        <w:rPr>
          <w:rFonts w:ascii="Times New Roman" w:hAnsi="Times New Roman"/>
          <w:b/>
          <w:szCs w:val="21"/>
        </w:rPr>
      </w:pPr>
      <w:r>
        <w:rPr>
          <w:rFonts w:ascii="Times New Roman" w:hAnsi="Times New Roman" w:hint="eastAsia"/>
          <w:bCs/>
          <w:szCs w:val="21"/>
        </w:rPr>
        <w:t>当接受赎回申请可能对理财产品存量投资者利益构成潜在重大不利影响时，或者基于投资运作与风险控制需要，产品管理人将</w:t>
      </w:r>
      <w:r>
        <w:t>依照严格审批、审慎决策的原则，及时有效地对风险进行监测和评估，并与产品托管人协商一致后</w:t>
      </w:r>
      <w:r>
        <w:rPr>
          <w:rFonts w:ascii="Times New Roman" w:hAnsi="Times New Roman" w:hint="eastAsia"/>
          <w:bCs/>
          <w:szCs w:val="21"/>
        </w:rPr>
        <w:t>，有权采取暂停接受赎回申请、对已经接受的赎回申请延缓支付赎回款项等措施，以及监管机构规定的其他措施，切实保护存量产品份额</w:t>
      </w:r>
      <w:r>
        <w:rPr>
          <w:rFonts w:ascii="Times New Roman" w:hAnsi="Times New Roman" w:hint="eastAsia"/>
          <w:bCs/>
          <w:szCs w:val="21"/>
        </w:rPr>
        <w:lastRenderedPageBreak/>
        <w:t>持有人的合法权益。</w:t>
      </w:r>
    </w:p>
    <w:p w:rsidR="000715C0" w:rsidRDefault="00CB504C">
      <w:pPr>
        <w:numPr>
          <w:ilvl w:val="255"/>
          <w:numId w:val="0"/>
        </w:numPr>
        <w:spacing w:line="276" w:lineRule="auto"/>
        <w:ind w:firstLineChars="200" w:firstLine="422"/>
        <w:rPr>
          <w:rFonts w:ascii="Times New Roman" w:hAnsi="Times New Roman"/>
          <w:b/>
          <w:szCs w:val="21"/>
        </w:rPr>
      </w:pPr>
      <w:r>
        <w:rPr>
          <w:rFonts w:ascii="Times New Roman" w:hAnsi="Times New Roman" w:hint="eastAsia"/>
          <w:b/>
          <w:szCs w:val="21"/>
        </w:rPr>
        <w:t>发生下列情形时，产品管理人可暂停接受投资者的赎回申请或延缓支付赎回款项：</w:t>
      </w:r>
    </w:p>
    <w:p w:rsidR="000715C0" w:rsidRDefault="00CB504C">
      <w:pPr>
        <w:numPr>
          <w:ilvl w:val="255"/>
          <w:numId w:val="0"/>
        </w:numPr>
        <w:spacing w:line="276" w:lineRule="auto"/>
        <w:ind w:firstLineChars="200" w:firstLine="422"/>
        <w:rPr>
          <w:rFonts w:ascii="Times New Roman" w:hAnsi="Times New Roman"/>
          <w:b/>
          <w:szCs w:val="21"/>
        </w:rPr>
      </w:pPr>
      <w:r>
        <w:rPr>
          <w:rFonts w:ascii="Times New Roman" w:hAnsi="Times New Roman"/>
          <w:b/>
          <w:szCs w:val="21"/>
        </w:rPr>
        <w:t>1</w:t>
      </w:r>
      <w:r>
        <w:rPr>
          <w:rFonts w:ascii="Times New Roman" w:hAnsi="Times New Roman" w:hint="eastAsia"/>
          <w:b/>
          <w:szCs w:val="21"/>
        </w:rPr>
        <w:t>、因不可抗力导致产品管理人不能支付赎回款项；</w:t>
      </w:r>
    </w:p>
    <w:p w:rsidR="000715C0" w:rsidRDefault="00CB504C">
      <w:pPr>
        <w:numPr>
          <w:ilvl w:val="255"/>
          <w:numId w:val="0"/>
        </w:numPr>
        <w:spacing w:line="276" w:lineRule="auto"/>
        <w:ind w:firstLineChars="200" w:firstLine="42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、产品管理人和产品托管人的技术保障等异常情况导致理财销售系统或会计系统无法正常运行；</w:t>
      </w:r>
    </w:p>
    <w:p w:rsidR="000715C0" w:rsidRDefault="00CB504C">
      <w:pPr>
        <w:numPr>
          <w:ilvl w:val="255"/>
          <w:numId w:val="0"/>
        </w:numPr>
        <w:spacing w:line="276" w:lineRule="auto"/>
        <w:ind w:firstLineChars="200" w:firstLine="420"/>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、发生暂停理财资产估值情况时，产品管理人可暂停接受投资人的赎回申请或延缓支付赎回款项；</w:t>
      </w:r>
    </w:p>
    <w:p w:rsidR="000715C0" w:rsidRDefault="00CB504C">
      <w:pPr>
        <w:numPr>
          <w:ilvl w:val="255"/>
          <w:numId w:val="0"/>
        </w:numPr>
        <w:spacing w:line="276" w:lineRule="auto"/>
        <w:ind w:firstLineChars="200" w:firstLine="420"/>
        <w:rPr>
          <w:rFonts w:ascii="Times New Roman" w:hAnsi="Times New Roman"/>
          <w:bCs/>
          <w:szCs w:val="21"/>
        </w:rPr>
      </w:pPr>
      <w:r>
        <w:rPr>
          <w:rFonts w:ascii="Times New Roman" w:hAnsi="Times New Roman" w:hint="eastAsia"/>
          <w:bCs/>
          <w:szCs w:val="21"/>
        </w:rPr>
        <w:t>4</w:t>
      </w:r>
      <w:r>
        <w:rPr>
          <w:rFonts w:ascii="Times New Roman" w:hAnsi="Times New Roman" w:hint="eastAsia"/>
          <w:bCs/>
          <w:szCs w:val="21"/>
        </w:rPr>
        <w:t>、证券交易所或银行间市场在交易时间非正常停市，导致产品管理人无法计算当日理财资产净值；</w:t>
      </w:r>
    </w:p>
    <w:p w:rsidR="000715C0" w:rsidRDefault="00CB504C">
      <w:pPr>
        <w:numPr>
          <w:ilvl w:val="255"/>
          <w:numId w:val="0"/>
        </w:numPr>
        <w:spacing w:line="276" w:lineRule="auto"/>
        <w:ind w:firstLineChars="200" w:firstLine="420"/>
        <w:rPr>
          <w:rFonts w:ascii="Times New Roman" w:hAnsi="Times New Roman"/>
          <w:bCs/>
          <w:szCs w:val="21"/>
        </w:rPr>
      </w:pPr>
      <w:r>
        <w:rPr>
          <w:rFonts w:ascii="Times New Roman" w:hAnsi="Times New Roman" w:hint="eastAsia"/>
          <w:bCs/>
          <w:szCs w:val="21"/>
        </w:rPr>
        <w:t>5</w:t>
      </w:r>
      <w:r>
        <w:rPr>
          <w:rFonts w:ascii="Times New Roman" w:hAnsi="Times New Roman" w:hint="eastAsia"/>
          <w:bCs/>
          <w:szCs w:val="21"/>
        </w:rPr>
        <w:t>、证券交易所或银行间市场出现异常市场情况，管理人无法开展产品的流动性管理；</w:t>
      </w:r>
    </w:p>
    <w:p w:rsidR="000715C0" w:rsidRDefault="00CB504C">
      <w:pPr>
        <w:numPr>
          <w:ilvl w:val="255"/>
          <w:numId w:val="0"/>
        </w:numPr>
        <w:spacing w:line="276" w:lineRule="auto"/>
        <w:ind w:firstLineChars="200" w:firstLine="420"/>
        <w:rPr>
          <w:rFonts w:ascii="Times New Roman" w:hAnsi="Times New Roman"/>
          <w:bCs/>
          <w:szCs w:val="21"/>
        </w:rPr>
      </w:pPr>
      <w:r>
        <w:rPr>
          <w:rFonts w:ascii="Times New Roman" w:hAnsi="Times New Roman" w:hint="eastAsia"/>
          <w:bCs/>
          <w:szCs w:val="21"/>
        </w:rPr>
        <w:t>6</w:t>
      </w:r>
      <w:r>
        <w:rPr>
          <w:rFonts w:ascii="Times New Roman" w:hAnsi="Times New Roman" w:hint="eastAsia"/>
          <w:bCs/>
          <w:szCs w:val="21"/>
        </w:rPr>
        <w:t>、连续两个或两个以上开放日发生巨额赎回，产品管理人有权在下一开放日暂停该理财计划的赎回申请。对于已经接受的赎回申请，产品管理人可以延缓支付赎回款项，但延缓期限不得</w:t>
      </w:r>
      <w:r>
        <w:rPr>
          <w:rFonts w:ascii="Times New Roman" w:hAnsi="Times New Roman" w:hint="eastAsia"/>
          <w:bCs/>
          <w:szCs w:val="21"/>
        </w:rPr>
        <w:t>超过</w:t>
      </w:r>
      <w:r>
        <w:rPr>
          <w:rFonts w:ascii="Times New Roman" w:hAnsi="Times New Roman" w:hint="eastAsia"/>
          <w:bCs/>
          <w:szCs w:val="21"/>
        </w:rPr>
        <w:t>20</w:t>
      </w:r>
      <w:r>
        <w:rPr>
          <w:rFonts w:ascii="Times New Roman" w:hAnsi="Times New Roman" w:hint="eastAsia"/>
          <w:bCs/>
          <w:szCs w:val="21"/>
        </w:rPr>
        <w:t>个工作日；</w:t>
      </w:r>
    </w:p>
    <w:p w:rsidR="000715C0" w:rsidRDefault="00CB504C">
      <w:pPr>
        <w:numPr>
          <w:ilvl w:val="255"/>
          <w:numId w:val="0"/>
        </w:numPr>
        <w:spacing w:line="276" w:lineRule="auto"/>
        <w:ind w:firstLineChars="200" w:firstLine="420"/>
        <w:rPr>
          <w:rFonts w:ascii="Times New Roman" w:hAnsi="Times New Roman"/>
          <w:bCs/>
          <w:szCs w:val="21"/>
        </w:rPr>
      </w:pPr>
      <w:r>
        <w:rPr>
          <w:rFonts w:ascii="Times New Roman" w:hAnsi="Times New Roman"/>
          <w:bCs/>
          <w:szCs w:val="21"/>
        </w:rPr>
        <w:t>7</w:t>
      </w:r>
      <w:r>
        <w:rPr>
          <w:rFonts w:ascii="Times New Roman" w:hAnsi="Times New Roman" w:hint="eastAsia"/>
          <w:bCs/>
          <w:szCs w:val="21"/>
        </w:rPr>
        <w:t>、</w:t>
      </w:r>
      <w:r>
        <w:rPr>
          <w:rFonts w:hint="eastAsia"/>
        </w:rPr>
        <w:t>当</w:t>
      </w:r>
      <w:r>
        <w:rPr>
          <w:rFonts w:ascii="Times New Roman" w:hAnsi="Times New Roman" w:hint="eastAsia"/>
          <w:bCs/>
          <w:szCs w:val="21"/>
        </w:rPr>
        <w:t>前一估值日产品资产净值</w:t>
      </w:r>
      <w:r>
        <w:rPr>
          <w:rFonts w:ascii="Times New Roman" w:hAnsi="Times New Roman"/>
          <w:bCs/>
          <w:szCs w:val="21"/>
        </w:rPr>
        <w:t>50%</w:t>
      </w:r>
      <w:r>
        <w:rPr>
          <w:rFonts w:ascii="Times New Roman" w:hAnsi="Times New Roman" w:hint="eastAsia"/>
          <w:bCs/>
          <w:szCs w:val="21"/>
        </w:rPr>
        <w:t>以上的资产不具备活跃交易市场或者在活跃市场中无报价，且不能采用估值技术可靠计量公允价值时；</w:t>
      </w:r>
    </w:p>
    <w:p w:rsidR="000715C0" w:rsidRDefault="00CB504C">
      <w:pPr>
        <w:numPr>
          <w:ilvl w:val="255"/>
          <w:numId w:val="0"/>
        </w:numPr>
        <w:spacing w:line="276" w:lineRule="auto"/>
        <w:ind w:firstLineChars="200" w:firstLine="420"/>
        <w:rPr>
          <w:rFonts w:ascii="Times New Roman" w:hAnsi="Times New Roman"/>
          <w:bCs/>
          <w:szCs w:val="21"/>
        </w:rPr>
      </w:pPr>
      <w:r>
        <w:rPr>
          <w:rFonts w:ascii="Times New Roman" w:hAnsi="Times New Roman" w:hint="eastAsia"/>
          <w:bCs/>
          <w:szCs w:val="21"/>
        </w:rPr>
        <w:t>8</w:t>
      </w:r>
      <w:r>
        <w:rPr>
          <w:rFonts w:ascii="Times New Roman" w:hAnsi="Times New Roman" w:hint="eastAsia"/>
          <w:bCs/>
          <w:szCs w:val="21"/>
        </w:rPr>
        <w:t>、其他可能对本产品运作或流动性产生负面影响，产品管理人认为可能损害现有产品份额持有人利益的情况；</w:t>
      </w:r>
    </w:p>
    <w:p w:rsidR="000715C0" w:rsidRDefault="00CB504C">
      <w:pPr>
        <w:numPr>
          <w:ilvl w:val="255"/>
          <w:numId w:val="0"/>
        </w:numPr>
        <w:spacing w:line="276" w:lineRule="auto"/>
        <w:ind w:firstLineChars="200" w:firstLine="420"/>
        <w:rPr>
          <w:rFonts w:ascii="Times New Roman" w:hAnsi="Times New Roman"/>
          <w:bCs/>
          <w:szCs w:val="21"/>
        </w:rPr>
      </w:pPr>
      <w:r>
        <w:rPr>
          <w:rFonts w:ascii="Times New Roman" w:hAnsi="Times New Roman" w:hint="eastAsia"/>
          <w:bCs/>
          <w:szCs w:val="21"/>
        </w:rPr>
        <w:t>9</w:t>
      </w:r>
      <w:r>
        <w:rPr>
          <w:rFonts w:ascii="Times New Roman" w:hAnsi="Times New Roman" w:hint="eastAsia"/>
          <w:bCs/>
          <w:szCs w:val="21"/>
        </w:rPr>
        <w:t>、法律法规规定或监管机构认定的其他情形。</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（三）终止、提前终止</w:t>
      </w:r>
    </w:p>
    <w:p w:rsidR="000715C0" w:rsidRDefault="00CB504C">
      <w:pPr>
        <w:widowControl/>
        <w:spacing w:line="276" w:lineRule="auto"/>
        <w:ind w:firstLine="420"/>
        <w:jc w:val="left"/>
        <w:rPr>
          <w:rFonts w:ascii="Times New Roman" w:hAnsi="Times New Roman" w:cs="宋体"/>
          <w:szCs w:val="21"/>
        </w:rPr>
      </w:pPr>
      <w:r>
        <w:rPr>
          <w:rFonts w:ascii="Times New Roman" w:hAnsi="Times New Roman"/>
          <w:bCs/>
          <w:szCs w:val="21"/>
        </w:rPr>
        <w:t>1</w:t>
      </w:r>
      <w:r>
        <w:rPr>
          <w:rFonts w:ascii="Times New Roman" w:hAnsi="Times New Roman" w:hint="eastAsia"/>
          <w:bCs/>
          <w:szCs w:val="21"/>
        </w:rPr>
        <w:t>、</w:t>
      </w:r>
      <w:r>
        <w:rPr>
          <w:rFonts w:ascii="Times New Roman" w:hAnsi="Times New Roman" w:cs="宋体" w:hint="eastAsia"/>
          <w:szCs w:val="21"/>
        </w:rPr>
        <w:t>本理财产品期限无固定期限，</w:t>
      </w:r>
      <w:r>
        <w:rPr>
          <w:rFonts w:ascii="Times New Roman" w:hAnsi="Times New Roman" w:cs="宋体"/>
          <w:szCs w:val="21"/>
        </w:rPr>
        <w:t>当理财产品</w:t>
      </w:r>
      <w:r>
        <w:rPr>
          <w:rFonts w:ascii="Times New Roman" w:hAnsi="Times New Roman" w:cs="宋体" w:hint="eastAsia"/>
          <w:szCs w:val="21"/>
        </w:rPr>
        <w:t>规模</w:t>
      </w:r>
      <w:r>
        <w:rPr>
          <w:rFonts w:ascii="Times New Roman" w:hAnsi="Times New Roman" w:cs="宋体"/>
          <w:szCs w:val="21"/>
        </w:rPr>
        <w:t>低于</w:t>
      </w:r>
      <w:r>
        <w:rPr>
          <w:rFonts w:ascii="Times New Roman" w:hAnsi="Times New Roman" w:cs="宋体" w:hint="eastAsia"/>
          <w:szCs w:val="21"/>
        </w:rPr>
        <w:t>规模下限</w:t>
      </w:r>
      <w:r>
        <w:rPr>
          <w:rFonts w:ascii="Times New Roman" w:hAnsi="Times New Roman" w:cs="宋体"/>
          <w:szCs w:val="21"/>
        </w:rPr>
        <w:t>时</w:t>
      </w:r>
      <w:r>
        <w:rPr>
          <w:rFonts w:ascii="Times New Roman" w:hAnsi="Times New Roman" w:cs="宋体" w:hint="eastAsia"/>
          <w:szCs w:val="21"/>
        </w:rPr>
        <w:t>或法律法规规定的其他情形导致产品终止时</w:t>
      </w:r>
      <w:r>
        <w:rPr>
          <w:rFonts w:ascii="Times New Roman" w:hAnsi="Times New Roman" w:cs="宋体"/>
          <w:szCs w:val="21"/>
        </w:rPr>
        <w:t>，理财产品管理人有权终止理财产品。</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cs="宋体"/>
          <w:szCs w:val="21"/>
        </w:rPr>
        <w:t>2</w:t>
      </w:r>
      <w:r>
        <w:rPr>
          <w:rFonts w:ascii="Times New Roman" w:hAnsi="Times New Roman" w:cs="宋体" w:hint="eastAsia"/>
          <w:szCs w:val="21"/>
        </w:rPr>
        <w:t>、</w:t>
      </w:r>
      <w:r>
        <w:rPr>
          <w:rFonts w:ascii="Times New Roman" w:hAnsi="Times New Roman" w:hint="eastAsia"/>
          <w:bCs/>
          <w:szCs w:val="21"/>
        </w:rPr>
        <w:t>在理财产品投资运作期间内，除正常</w:t>
      </w:r>
      <w:r>
        <w:rPr>
          <w:rFonts w:ascii="Times New Roman" w:hAnsi="Times New Roman" w:cs="宋体"/>
          <w:szCs w:val="21"/>
        </w:rPr>
        <w:t>赎回</w:t>
      </w:r>
      <w:r>
        <w:rPr>
          <w:rFonts w:ascii="Times New Roman" w:hAnsi="Times New Roman" w:cs="宋体" w:hint="eastAsia"/>
          <w:szCs w:val="21"/>
        </w:rPr>
        <w:t>外，投资者</w:t>
      </w:r>
      <w:r>
        <w:rPr>
          <w:rFonts w:ascii="Times New Roman" w:hAnsi="Times New Roman" w:hint="eastAsia"/>
          <w:bCs/>
          <w:szCs w:val="21"/>
        </w:rPr>
        <w:t>无权要求提前终止该理财产品；当相关政策出现重大调整、市场出现剧烈波动、投资标的提前到期或发生其他</w:t>
      </w:r>
      <w:r>
        <w:rPr>
          <w:rFonts w:ascii="Times New Roman" w:hAnsi="Times New Roman" w:hint="eastAsia"/>
          <w:szCs w:val="21"/>
        </w:rPr>
        <w:t>渝农商理财有限责任公司</w:t>
      </w:r>
      <w:r>
        <w:rPr>
          <w:rFonts w:ascii="Times New Roman" w:hAnsi="Times New Roman" w:hint="eastAsia"/>
          <w:bCs/>
          <w:szCs w:val="21"/>
        </w:rPr>
        <w:t>认为需要提前终止本理财产品</w:t>
      </w:r>
      <w:bookmarkStart w:id="22" w:name="_Hlk128659748"/>
      <w:r>
        <w:rPr>
          <w:rFonts w:ascii="Times New Roman" w:hAnsi="Times New Roman" w:hint="eastAsia"/>
          <w:bCs/>
          <w:szCs w:val="21"/>
        </w:rPr>
        <w:t>或本理财产品某一份额类别</w:t>
      </w:r>
      <w:bookmarkEnd w:id="22"/>
      <w:r>
        <w:rPr>
          <w:rFonts w:ascii="Times New Roman" w:hAnsi="Times New Roman" w:hint="eastAsia"/>
          <w:bCs/>
          <w:szCs w:val="21"/>
        </w:rPr>
        <w:t>等情况，</w:t>
      </w:r>
      <w:r>
        <w:rPr>
          <w:rFonts w:ascii="Times New Roman" w:hAnsi="Times New Roman" w:hint="eastAsia"/>
          <w:szCs w:val="21"/>
        </w:rPr>
        <w:t>渝农商理财有限责任公司</w:t>
      </w:r>
      <w:r>
        <w:rPr>
          <w:rFonts w:ascii="Times New Roman" w:hAnsi="Times New Roman" w:hint="eastAsia"/>
          <w:bCs/>
          <w:szCs w:val="21"/>
        </w:rPr>
        <w:t>有权部分或全部提前终止本理财产品或本理财产品某一份额类别。如本产品</w:t>
      </w:r>
      <w:bookmarkStart w:id="23" w:name="_Hlk128659772"/>
      <w:r>
        <w:rPr>
          <w:rFonts w:ascii="Times New Roman" w:hAnsi="Times New Roman" w:hint="eastAsia"/>
          <w:bCs/>
          <w:szCs w:val="21"/>
        </w:rPr>
        <w:t>或某一份额类别</w:t>
      </w:r>
      <w:bookmarkEnd w:id="23"/>
      <w:r>
        <w:rPr>
          <w:rFonts w:ascii="Times New Roman" w:hAnsi="Times New Roman" w:hint="eastAsia"/>
          <w:bCs/>
          <w:szCs w:val="21"/>
        </w:rPr>
        <w:t>提前终止，</w:t>
      </w:r>
      <w:r>
        <w:rPr>
          <w:rFonts w:ascii="Times New Roman" w:hAnsi="Times New Roman" w:hint="eastAsia"/>
          <w:szCs w:val="21"/>
        </w:rPr>
        <w:t>渝农商理财有限责任公司</w:t>
      </w:r>
      <w:r>
        <w:rPr>
          <w:rFonts w:ascii="Times New Roman" w:hAnsi="Times New Roman" w:hint="eastAsia"/>
          <w:bCs/>
          <w:szCs w:val="21"/>
        </w:rPr>
        <w:t>将在提前终止日前</w:t>
      </w:r>
      <w:r>
        <w:rPr>
          <w:rFonts w:ascii="Times New Roman" w:hAnsi="Times New Roman" w:hint="eastAsia"/>
          <w:bCs/>
          <w:szCs w:val="21"/>
        </w:rPr>
        <w:t>2</w:t>
      </w:r>
      <w:r>
        <w:rPr>
          <w:rFonts w:ascii="Times New Roman" w:hAnsi="Times New Roman" w:hint="eastAsia"/>
          <w:bCs/>
          <w:szCs w:val="21"/>
        </w:rPr>
        <w:t>个工作日，通过</w:t>
      </w:r>
      <w:hyperlink w:history="1"/>
      <w:r>
        <w:rPr>
          <w:rFonts w:ascii="Times New Roman" w:hAnsi="Times New Roman" w:hint="eastAsia"/>
          <w:bCs/>
          <w:szCs w:val="21"/>
        </w:rPr>
        <w:t>约定的信息披露渠道发布相关信息，并于提前终止日后</w:t>
      </w:r>
      <w:r>
        <w:rPr>
          <w:rFonts w:ascii="Times New Roman" w:hAnsi="Times New Roman" w:hint="eastAsia"/>
          <w:bCs/>
          <w:szCs w:val="21"/>
        </w:rPr>
        <w:t>2</w:t>
      </w:r>
      <w:r>
        <w:rPr>
          <w:rFonts w:ascii="Times New Roman" w:hAnsi="Times New Roman" w:hint="eastAsia"/>
          <w:bCs/>
          <w:szCs w:val="21"/>
        </w:rPr>
        <w:t>个交易日内将</w:t>
      </w:r>
      <w:r>
        <w:rPr>
          <w:rFonts w:ascii="Times New Roman" w:hAnsi="Times New Roman" w:cs="宋体" w:hint="eastAsia"/>
          <w:szCs w:val="21"/>
        </w:rPr>
        <w:t>投资者资金划转至投资者账</w:t>
      </w:r>
      <w:r>
        <w:rPr>
          <w:rFonts w:ascii="Times New Roman" w:hAnsi="Times New Roman" w:hint="eastAsia"/>
          <w:bCs/>
          <w:szCs w:val="21"/>
        </w:rPr>
        <w:t>户。</w:t>
      </w:r>
      <w:r>
        <w:rPr>
          <w:rFonts w:ascii="Times New Roman" w:hAnsi="Times New Roman" w:hint="eastAsia"/>
          <w:b/>
          <w:szCs w:val="21"/>
        </w:rPr>
        <w:t>提前终止日至资金到账日之间，投资者资金不计息。</w:t>
      </w:r>
    </w:p>
    <w:p w:rsidR="000715C0" w:rsidRDefault="00CB504C">
      <w:pPr>
        <w:autoSpaceDE w:val="0"/>
        <w:autoSpaceDN w:val="0"/>
        <w:adjustRightInd w:val="0"/>
        <w:spacing w:line="276" w:lineRule="auto"/>
        <w:ind w:firstLineChars="200" w:firstLine="422"/>
        <w:jc w:val="left"/>
        <w:outlineLvl w:val="0"/>
        <w:rPr>
          <w:rFonts w:ascii="Times New Roman" w:hAnsi="Times New Roman"/>
          <w:b/>
          <w:bCs/>
          <w:szCs w:val="21"/>
        </w:rPr>
      </w:pPr>
      <w:r>
        <w:rPr>
          <w:rFonts w:ascii="Times New Roman" w:hAnsi="Times New Roman" w:hint="eastAsia"/>
          <w:b/>
          <w:bCs/>
          <w:szCs w:val="21"/>
        </w:rPr>
        <w:t>五、</w:t>
      </w:r>
      <w:bookmarkStart w:id="24" w:name="_Hlk116985601"/>
      <w:r>
        <w:rPr>
          <w:rFonts w:ascii="Times New Roman" w:hAnsi="Times New Roman" w:hint="eastAsia"/>
          <w:b/>
          <w:bCs/>
          <w:szCs w:val="21"/>
        </w:rPr>
        <w:t>理财产品收益计算</w:t>
      </w:r>
      <w:bookmarkEnd w:id="24"/>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（一）产品净值</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１、理财产品</w:t>
      </w:r>
      <w:r>
        <w:rPr>
          <w:rFonts w:asciiTheme="minorEastAsia" w:eastAsiaTheme="minorEastAsia" w:hAnsiTheme="minorEastAsia" w:hint="eastAsia"/>
          <w:bCs/>
          <w:szCs w:val="21"/>
        </w:rPr>
        <w:t>资产净值</w:t>
      </w:r>
      <w:r>
        <w:rPr>
          <w:rFonts w:asciiTheme="minorEastAsia" w:eastAsiaTheme="minorEastAsia" w:hAnsiTheme="minorEastAsia" w:hint="eastAsia"/>
          <w:bCs/>
          <w:szCs w:val="21"/>
        </w:rPr>
        <w:t>/</w:t>
      </w:r>
      <w:r>
        <w:rPr>
          <w:rFonts w:ascii="Times New Roman" w:hAnsi="Times New Roman" w:hint="eastAsia"/>
          <w:bCs/>
          <w:szCs w:val="21"/>
        </w:rPr>
        <w:t>总净值</w:t>
      </w:r>
      <w:r>
        <w:rPr>
          <w:rFonts w:ascii="Times New Roman" w:hAnsi="Times New Roman"/>
          <w:bCs/>
          <w:szCs w:val="21"/>
        </w:rPr>
        <w:t xml:space="preserve">= </w:t>
      </w:r>
      <w:r>
        <w:rPr>
          <w:rFonts w:ascii="Times New Roman" w:hAnsi="Times New Roman" w:hint="eastAsia"/>
          <w:bCs/>
          <w:szCs w:val="21"/>
        </w:rPr>
        <w:t>理财产品认购、申购总金额</w:t>
      </w:r>
      <w:r>
        <w:rPr>
          <w:rFonts w:ascii="Times New Roman" w:hAnsi="Times New Roman"/>
          <w:bCs/>
          <w:szCs w:val="21"/>
        </w:rPr>
        <w:t>+</w:t>
      </w:r>
      <w:r>
        <w:rPr>
          <w:rFonts w:ascii="Times New Roman" w:hAnsi="Times New Roman" w:hint="eastAsia"/>
          <w:bCs/>
          <w:szCs w:val="21"/>
        </w:rPr>
        <w:t>理财产品所获总收益</w:t>
      </w:r>
      <w:r>
        <w:rPr>
          <w:rFonts w:ascii="Times New Roman" w:hAnsi="Times New Roman"/>
          <w:bCs/>
          <w:szCs w:val="21"/>
        </w:rPr>
        <w:t>-</w:t>
      </w:r>
      <w:r>
        <w:rPr>
          <w:rFonts w:ascii="Times New Roman" w:hAnsi="Times New Roman" w:hint="eastAsia"/>
          <w:bCs/>
          <w:szCs w:val="21"/>
        </w:rPr>
        <w:t>理财产品总费用（包括但不限于销售服务费、托管费和固定管理费等）</w:t>
      </w:r>
      <w:r>
        <w:rPr>
          <w:rFonts w:ascii="Times New Roman" w:hAnsi="Times New Roman"/>
          <w:bCs/>
          <w:szCs w:val="21"/>
        </w:rPr>
        <w:t>-</w:t>
      </w:r>
      <w:r>
        <w:rPr>
          <w:rFonts w:ascii="Times New Roman" w:hAnsi="Times New Roman" w:hint="eastAsia"/>
          <w:bCs/>
          <w:szCs w:val="21"/>
        </w:rPr>
        <w:t>理财产品累计终止、赎回和分红总金额。</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理财产品某份额类别</w:t>
      </w:r>
      <w:r>
        <w:rPr>
          <w:rFonts w:asciiTheme="minorEastAsia" w:eastAsiaTheme="minorEastAsia" w:hAnsiTheme="minorEastAsia" w:hint="eastAsia"/>
          <w:bCs/>
          <w:szCs w:val="21"/>
        </w:rPr>
        <w:t>资产净值</w:t>
      </w:r>
      <w:r>
        <w:rPr>
          <w:rFonts w:asciiTheme="minorEastAsia" w:eastAsiaTheme="minorEastAsia" w:hAnsiTheme="minorEastAsia" w:hint="eastAsia"/>
          <w:bCs/>
          <w:szCs w:val="21"/>
        </w:rPr>
        <w:t>/</w:t>
      </w:r>
      <w:r>
        <w:rPr>
          <w:rFonts w:ascii="Times New Roman" w:hAnsi="Times New Roman" w:hint="eastAsia"/>
          <w:bCs/>
          <w:szCs w:val="21"/>
        </w:rPr>
        <w:t>总净值</w:t>
      </w:r>
      <w:r>
        <w:rPr>
          <w:rFonts w:ascii="Times New Roman" w:hAnsi="Times New Roman"/>
          <w:bCs/>
          <w:szCs w:val="21"/>
        </w:rPr>
        <w:t>=</w:t>
      </w:r>
      <w:r>
        <w:rPr>
          <w:rFonts w:ascii="Times New Roman" w:hAnsi="Times New Roman" w:hint="eastAsia"/>
          <w:bCs/>
          <w:szCs w:val="21"/>
        </w:rPr>
        <w:t>理财产品某份额类别认购、申购总金额</w:t>
      </w:r>
      <w:r>
        <w:rPr>
          <w:rFonts w:ascii="Times New Roman" w:hAnsi="Times New Roman"/>
          <w:bCs/>
          <w:szCs w:val="21"/>
        </w:rPr>
        <w:t>+</w:t>
      </w:r>
      <w:r>
        <w:rPr>
          <w:rFonts w:ascii="Times New Roman" w:hAnsi="Times New Roman" w:hint="eastAsia"/>
          <w:bCs/>
          <w:szCs w:val="21"/>
        </w:rPr>
        <w:t>理财产品某份额类别所获总收益</w:t>
      </w:r>
      <w:r>
        <w:rPr>
          <w:rFonts w:ascii="Times New Roman" w:hAnsi="Times New Roman"/>
          <w:bCs/>
          <w:szCs w:val="21"/>
        </w:rPr>
        <w:t>-</w:t>
      </w:r>
      <w:r>
        <w:rPr>
          <w:rFonts w:ascii="Times New Roman" w:hAnsi="Times New Roman" w:hint="eastAsia"/>
          <w:bCs/>
          <w:szCs w:val="21"/>
        </w:rPr>
        <w:t>理财产品某份额类别总费用（包括但不限于销售服务费、托管费和固定管理费等）</w:t>
      </w:r>
      <w:r>
        <w:rPr>
          <w:rFonts w:ascii="Times New Roman" w:hAnsi="Times New Roman"/>
          <w:bCs/>
          <w:szCs w:val="21"/>
        </w:rPr>
        <w:t>-</w:t>
      </w:r>
      <w:r>
        <w:rPr>
          <w:rFonts w:ascii="Times New Roman" w:hAnsi="Times New Roman" w:hint="eastAsia"/>
          <w:bCs/>
          <w:szCs w:val="21"/>
        </w:rPr>
        <w:t>理财产品某份额类别累计终止、赎回和分红总金额。</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２、理财产品单位净值</w:t>
      </w:r>
      <w:r>
        <w:rPr>
          <w:rFonts w:ascii="Times New Roman" w:eastAsiaTheme="minorEastAsia" w:hAnsi="Times New Roman" w:hint="eastAsia"/>
          <w:bCs/>
          <w:szCs w:val="21"/>
        </w:rPr>
        <w:t>/</w:t>
      </w:r>
      <w:r>
        <w:rPr>
          <w:rFonts w:ascii="Times New Roman" w:eastAsiaTheme="minorEastAsia" w:hAnsi="Times New Roman" w:hint="eastAsia"/>
          <w:bCs/>
          <w:szCs w:val="21"/>
        </w:rPr>
        <w:t>份额净值</w:t>
      </w:r>
      <w:r>
        <w:rPr>
          <w:rFonts w:ascii="Times New Roman" w:hAnsi="Times New Roman"/>
          <w:bCs/>
          <w:szCs w:val="21"/>
        </w:rPr>
        <w:t>=</w:t>
      </w:r>
      <w:r>
        <w:rPr>
          <w:rFonts w:ascii="Times New Roman" w:hAnsi="Times New Roman" w:hint="eastAsia"/>
          <w:bCs/>
          <w:szCs w:val="21"/>
        </w:rPr>
        <w:t>理财产品总净值÷理财产品总存续份额。单位净</w:t>
      </w:r>
      <w:r>
        <w:rPr>
          <w:rFonts w:ascii="Times New Roman" w:hAnsi="Times New Roman" w:hint="eastAsia"/>
          <w:bCs/>
          <w:szCs w:val="21"/>
        </w:rPr>
        <w:t>值保留至小数点后四位（小数点四位以下舍位）。</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bookmarkStart w:id="25" w:name="_Hlk153281962"/>
      <w:r>
        <w:rPr>
          <w:rFonts w:ascii="Times New Roman" w:hAnsi="Times New Roman" w:hint="eastAsia"/>
          <w:bCs/>
          <w:szCs w:val="21"/>
        </w:rPr>
        <w:lastRenderedPageBreak/>
        <w:t>理财产品某份额类别单位净值</w:t>
      </w:r>
      <w:r>
        <w:rPr>
          <w:rFonts w:ascii="Times New Roman" w:eastAsiaTheme="minorEastAsia" w:hAnsi="Times New Roman" w:hint="eastAsia"/>
          <w:bCs/>
          <w:szCs w:val="21"/>
        </w:rPr>
        <w:t>/</w:t>
      </w:r>
      <w:r>
        <w:rPr>
          <w:rFonts w:ascii="Times New Roman" w:eastAsiaTheme="minorEastAsia" w:hAnsi="Times New Roman" w:hint="eastAsia"/>
          <w:bCs/>
          <w:szCs w:val="21"/>
        </w:rPr>
        <w:t>份额净值</w:t>
      </w:r>
      <w:r>
        <w:rPr>
          <w:rFonts w:ascii="Times New Roman" w:hAnsi="Times New Roman"/>
          <w:bCs/>
          <w:szCs w:val="21"/>
        </w:rPr>
        <w:t>=</w:t>
      </w:r>
      <w:r>
        <w:rPr>
          <w:rFonts w:ascii="Times New Roman" w:hAnsi="Times New Roman" w:hint="eastAsia"/>
          <w:bCs/>
          <w:szCs w:val="21"/>
        </w:rPr>
        <w:t>理财产品该份额类别总净值÷理财产品该份额类别总存续份额。单位净值保留至小数点后四位（小数点四位以下舍位）。</w:t>
      </w:r>
      <w:bookmarkEnd w:id="25"/>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bCs/>
          <w:szCs w:val="21"/>
        </w:rPr>
        <w:t>3</w:t>
      </w:r>
      <w:r>
        <w:rPr>
          <w:rFonts w:ascii="Times New Roman" w:hAnsi="Times New Roman" w:hint="eastAsia"/>
          <w:bCs/>
          <w:szCs w:val="21"/>
        </w:rPr>
        <w:t>、理财产品累计单位净值</w:t>
      </w:r>
      <w:r>
        <w:rPr>
          <w:rFonts w:ascii="Times New Roman" w:eastAsiaTheme="minorEastAsia" w:hAnsi="Times New Roman" w:hint="eastAsia"/>
          <w:bCs/>
          <w:szCs w:val="21"/>
        </w:rPr>
        <w:t>/</w:t>
      </w:r>
      <w:r>
        <w:rPr>
          <w:rFonts w:ascii="Times New Roman" w:eastAsiaTheme="minorEastAsia" w:hAnsi="Times New Roman" w:hint="eastAsia"/>
          <w:bCs/>
          <w:szCs w:val="21"/>
        </w:rPr>
        <w:t>份额累计净值</w:t>
      </w:r>
      <w:r>
        <w:rPr>
          <w:rFonts w:ascii="Times New Roman" w:hAnsi="Times New Roman" w:hint="eastAsia"/>
          <w:bCs/>
          <w:szCs w:val="21"/>
        </w:rPr>
        <w:t>=</w:t>
      </w:r>
      <w:r>
        <w:rPr>
          <w:rFonts w:ascii="Times New Roman" w:hAnsi="Times New Roman" w:hint="eastAsia"/>
          <w:bCs/>
          <w:szCs w:val="21"/>
        </w:rPr>
        <w:t>理财产品单位净值</w:t>
      </w:r>
      <w:r>
        <w:rPr>
          <w:rFonts w:ascii="Times New Roman" w:hAnsi="Times New Roman" w:hint="eastAsia"/>
          <w:bCs/>
          <w:szCs w:val="21"/>
        </w:rPr>
        <w:t>+</w:t>
      </w:r>
      <w:r>
        <w:rPr>
          <w:rFonts w:ascii="Times New Roman" w:hAnsi="Times New Roman" w:hint="eastAsia"/>
          <w:bCs/>
          <w:szCs w:val="21"/>
        </w:rPr>
        <w:t>历次累计单位分红。累计单位净值保留至小数点后四位（小数点四位以下舍位）。</w:t>
      </w:r>
    </w:p>
    <w:p w:rsidR="000715C0" w:rsidRDefault="00CB504C">
      <w:pPr>
        <w:autoSpaceDE w:val="0"/>
        <w:autoSpaceDN w:val="0"/>
        <w:adjustRightInd w:val="0"/>
        <w:spacing w:line="276" w:lineRule="auto"/>
        <w:ind w:left="210" w:right="210" w:firstLineChars="200" w:firstLine="420"/>
        <w:jc w:val="left"/>
        <w:outlineLvl w:val="0"/>
        <w:rPr>
          <w:rFonts w:ascii="Times New Roman" w:eastAsiaTheme="minorEastAsia" w:hAnsi="Times New Roman"/>
          <w:bCs/>
          <w:szCs w:val="21"/>
        </w:rPr>
      </w:pPr>
      <w:bookmarkStart w:id="26" w:name="_Hlk153281969"/>
      <w:r>
        <w:rPr>
          <w:rFonts w:ascii="Times New Roman" w:hAnsi="Times New Roman" w:hint="eastAsia"/>
          <w:bCs/>
          <w:szCs w:val="21"/>
        </w:rPr>
        <w:t>理财产品某份额类别</w:t>
      </w:r>
      <w:r>
        <w:rPr>
          <w:rFonts w:ascii="Times New Roman" w:eastAsiaTheme="minorEastAsia" w:hAnsi="Times New Roman"/>
          <w:bCs/>
          <w:szCs w:val="21"/>
        </w:rPr>
        <w:t>累计</w:t>
      </w:r>
      <w:r>
        <w:rPr>
          <w:rFonts w:ascii="Times New Roman" w:eastAsiaTheme="minorEastAsia" w:hAnsi="Times New Roman" w:hint="eastAsia"/>
          <w:bCs/>
          <w:szCs w:val="21"/>
        </w:rPr>
        <w:t>单位</w:t>
      </w:r>
      <w:r>
        <w:rPr>
          <w:rFonts w:ascii="Times New Roman" w:eastAsiaTheme="minorEastAsia" w:hAnsi="Times New Roman"/>
          <w:bCs/>
          <w:szCs w:val="21"/>
        </w:rPr>
        <w:t>净值</w:t>
      </w:r>
      <w:r>
        <w:rPr>
          <w:rFonts w:ascii="Times New Roman" w:eastAsiaTheme="minorEastAsia" w:hAnsi="Times New Roman" w:hint="eastAsia"/>
          <w:bCs/>
          <w:szCs w:val="21"/>
        </w:rPr>
        <w:t>/</w:t>
      </w:r>
      <w:r>
        <w:rPr>
          <w:rFonts w:ascii="Times New Roman" w:eastAsiaTheme="minorEastAsia" w:hAnsi="Times New Roman" w:hint="eastAsia"/>
          <w:bCs/>
          <w:szCs w:val="21"/>
        </w:rPr>
        <w:t>份额累计净值</w:t>
      </w:r>
      <w:r>
        <w:rPr>
          <w:rFonts w:ascii="Times New Roman" w:hAnsi="Times New Roman" w:hint="eastAsia"/>
          <w:bCs/>
          <w:szCs w:val="21"/>
        </w:rPr>
        <w:t>=</w:t>
      </w:r>
      <w:r>
        <w:rPr>
          <w:rFonts w:ascii="Times New Roman" w:hAnsi="Times New Roman" w:hint="eastAsia"/>
          <w:bCs/>
          <w:szCs w:val="21"/>
        </w:rPr>
        <w:t>理财产品该份额类别</w:t>
      </w:r>
      <w:r>
        <w:rPr>
          <w:rFonts w:ascii="Times New Roman" w:eastAsiaTheme="minorEastAsia" w:hAnsi="Times New Roman"/>
          <w:bCs/>
          <w:szCs w:val="21"/>
        </w:rPr>
        <w:t>单位净值</w:t>
      </w:r>
      <w:r>
        <w:rPr>
          <w:rFonts w:ascii="Times New Roman" w:eastAsiaTheme="minorEastAsia" w:hAnsi="Times New Roman" w:hint="eastAsia"/>
          <w:bCs/>
          <w:szCs w:val="21"/>
        </w:rPr>
        <w:t>+</w:t>
      </w:r>
      <w:r>
        <w:rPr>
          <w:rFonts w:ascii="Times New Roman" w:hAnsi="Times New Roman" w:hint="eastAsia"/>
          <w:bCs/>
          <w:szCs w:val="21"/>
        </w:rPr>
        <w:t>该份额类别</w:t>
      </w:r>
      <w:r>
        <w:rPr>
          <w:rFonts w:ascii="Times New Roman" w:eastAsiaTheme="minorEastAsia" w:hAnsi="Times New Roman"/>
          <w:bCs/>
          <w:szCs w:val="21"/>
        </w:rPr>
        <w:t>历次累计单位分红</w:t>
      </w:r>
      <w:r>
        <w:rPr>
          <w:rFonts w:ascii="Times New Roman" w:eastAsiaTheme="minorEastAsia" w:hAnsi="Times New Roman" w:hint="eastAsia"/>
          <w:bCs/>
          <w:szCs w:val="21"/>
        </w:rPr>
        <w:t>。</w:t>
      </w:r>
      <w:r>
        <w:rPr>
          <w:rFonts w:ascii="Times New Roman" w:eastAsiaTheme="minorEastAsia" w:hAnsi="Times New Roman"/>
          <w:bCs/>
          <w:szCs w:val="21"/>
        </w:rPr>
        <w:t>累计</w:t>
      </w:r>
      <w:r>
        <w:rPr>
          <w:rFonts w:ascii="Times New Roman" w:eastAsiaTheme="minorEastAsia" w:hAnsi="Times New Roman" w:hint="eastAsia"/>
          <w:bCs/>
          <w:szCs w:val="21"/>
        </w:rPr>
        <w:t>单位</w:t>
      </w:r>
      <w:r>
        <w:rPr>
          <w:rFonts w:ascii="Times New Roman" w:eastAsiaTheme="minorEastAsia" w:hAnsi="Times New Roman"/>
          <w:bCs/>
          <w:szCs w:val="21"/>
        </w:rPr>
        <w:t>净值保留至小数点后四位（小数点四位以下舍位）。</w:t>
      </w:r>
      <w:bookmarkEnd w:id="26"/>
    </w:p>
    <w:p w:rsidR="000715C0" w:rsidRDefault="00CB504C">
      <w:pPr>
        <w:autoSpaceDE w:val="0"/>
        <w:autoSpaceDN w:val="0"/>
        <w:adjustRightInd w:val="0"/>
        <w:spacing w:line="276" w:lineRule="auto"/>
        <w:ind w:firstLineChars="200" w:firstLine="422"/>
        <w:jc w:val="left"/>
        <w:outlineLvl w:val="0"/>
        <w:rPr>
          <w:rFonts w:ascii="Times New Roman" w:hAnsi="Times New Roman"/>
          <w:b/>
          <w:szCs w:val="21"/>
        </w:rPr>
      </w:pPr>
      <w:r>
        <w:rPr>
          <w:rFonts w:ascii="Times New Roman" w:hAnsi="Times New Roman" w:hint="eastAsia"/>
          <w:b/>
          <w:szCs w:val="21"/>
        </w:rPr>
        <w:t>（二）产品费用</w:t>
      </w:r>
    </w:p>
    <w:p w:rsidR="000715C0" w:rsidRDefault="00CB504C">
      <w:pPr>
        <w:autoSpaceDE w:val="0"/>
        <w:autoSpaceDN w:val="0"/>
        <w:adjustRightInd w:val="0"/>
        <w:spacing w:line="276" w:lineRule="auto"/>
        <w:ind w:firstLineChars="200" w:firstLine="422"/>
        <w:jc w:val="left"/>
        <w:rPr>
          <w:rFonts w:ascii="Times New Roman" w:hAnsi="Times New Roman"/>
          <w:b/>
          <w:szCs w:val="21"/>
        </w:rPr>
      </w:pPr>
      <w:r>
        <w:rPr>
          <w:rFonts w:ascii="Times New Roman" w:hAnsi="Times New Roman"/>
          <w:b/>
          <w:szCs w:val="21"/>
        </w:rPr>
        <w:t>1</w:t>
      </w:r>
      <w:r>
        <w:rPr>
          <w:rFonts w:ascii="Times New Roman" w:hAnsi="Times New Roman" w:hint="eastAsia"/>
          <w:b/>
          <w:szCs w:val="21"/>
        </w:rPr>
        <w:t>、</w:t>
      </w:r>
      <w:bookmarkStart w:id="27" w:name="_Hlk128678987"/>
      <w:bookmarkStart w:id="28" w:name="_Hlk128659839"/>
      <w:r>
        <w:rPr>
          <w:rFonts w:ascii="Times New Roman" w:hAnsi="Times New Roman" w:hint="eastAsia"/>
          <w:b/>
          <w:szCs w:val="21"/>
        </w:rPr>
        <w:t>本产品收取销售服务费、固定管理费和托管费，各费用自产品成立日起每日计提。具体计提方式如下：</w:t>
      </w:r>
    </w:p>
    <w:p w:rsidR="000715C0" w:rsidRDefault="00CB504C">
      <w:pPr>
        <w:autoSpaceDE w:val="0"/>
        <w:autoSpaceDN w:val="0"/>
        <w:adjustRightInd w:val="0"/>
        <w:spacing w:line="276" w:lineRule="auto"/>
        <w:ind w:leftChars="86" w:left="181" w:firstLineChars="200" w:firstLine="422"/>
        <w:jc w:val="left"/>
        <w:rPr>
          <w:rFonts w:ascii="Times New Roman" w:hAnsi="Times New Roman"/>
          <w:b/>
          <w:szCs w:val="21"/>
        </w:rPr>
      </w:pPr>
      <w:r>
        <w:rPr>
          <w:rFonts w:ascii="Times New Roman" w:hAnsi="Times New Roman" w:hint="eastAsia"/>
          <w:b/>
          <w:szCs w:val="21"/>
        </w:rPr>
        <w:t>（</w:t>
      </w:r>
      <w:r>
        <w:rPr>
          <w:rFonts w:ascii="Times New Roman" w:hAnsi="Times New Roman"/>
          <w:b/>
          <w:szCs w:val="21"/>
        </w:rPr>
        <w:t>1</w:t>
      </w:r>
      <w:r>
        <w:rPr>
          <w:rFonts w:ascii="Times New Roman" w:hAnsi="Times New Roman" w:hint="eastAsia"/>
          <w:b/>
          <w:szCs w:val="21"/>
        </w:rPr>
        <w:t>）销售服务费：</w:t>
      </w:r>
      <w:r>
        <w:rPr>
          <w:rFonts w:ascii="Times New Roman" w:hAnsi="Times New Roman" w:hint="eastAsia"/>
          <w:b/>
          <w:szCs w:val="21"/>
        </w:rPr>
        <w:t>A</w:t>
      </w:r>
      <w:r>
        <w:rPr>
          <w:rFonts w:ascii="Times New Roman" w:hAnsi="Times New Roman" w:hint="eastAsia"/>
          <w:b/>
          <w:szCs w:val="21"/>
        </w:rPr>
        <w:t>份额为</w:t>
      </w:r>
      <w:r>
        <w:rPr>
          <w:rFonts w:ascii="Times New Roman" w:hAnsi="Times New Roman" w:hint="eastAsia"/>
          <w:b/>
          <w:szCs w:val="21"/>
        </w:rPr>
        <w:t>0.30%</w:t>
      </w:r>
      <w:r>
        <w:rPr>
          <w:rFonts w:ascii="Times New Roman" w:hAnsi="Times New Roman" w:hint="eastAsia"/>
          <w:b/>
          <w:szCs w:val="21"/>
        </w:rPr>
        <w:t>，</w:t>
      </w:r>
      <w:r>
        <w:rPr>
          <w:rFonts w:ascii="Times New Roman" w:hAnsi="Times New Roman" w:hint="eastAsia"/>
          <w:b/>
          <w:szCs w:val="21"/>
        </w:rPr>
        <w:t>B</w:t>
      </w:r>
      <w:r>
        <w:rPr>
          <w:rFonts w:ascii="Times New Roman" w:hAnsi="Times New Roman" w:hint="eastAsia"/>
          <w:b/>
          <w:szCs w:val="21"/>
        </w:rPr>
        <w:t>份额为</w:t>
      </w:r>
      <w:r>
        <w:rPr>
          <w:rFonts w:ascii="Times New Roman" w:hAnsi="Times New Roman" w:hint="eastAsia"/>
          <w:b/>
          <w:szCs w:val="21"/>
        </w:rPr>
        <w:t>0.30%</w:t>
      </w:r>
      <w:r>
        <w:rPr>
          <w:rFonts w:ascii="Times New Roman" w:hAnsi="Times New Roman" w:hint="eastAsia"/>
          <w:b/>
          <w:szCs w:val="21"/>
        </w:rPr>
        <w:t>，</w:t>
      </w:r>
      <w:r>
        <w:rPr>
          <w:rFonts w:ascii="Times New Roman" w:hAnsi="Times New Roman" w:hint="eastAsia"/>
          <w:b/>
          <w:szCs w:val="21"/>
        </w:rPr>
        <w:t>C</w:t>
      </w:r>
      <w:r>
        <w:rPr>
          <w:rFonts w:ascii="Times New Roman" w:hAnsi="Times New Roman" w:hint="eastAsia"/>
          <w:b/>
          <w:szCs w:val="21"/>
        </w:rPr>
        <w:t>份额为</w:t>
      </w:r>
      <w:r>
        <w:rPr>
          <w:rFonts w:ascii="Times New Roman" w:hAnsi="Times New Roman" w:hint="eastAsia"/>
          <w:b/>
          <w:szCs w:val="21"/>
        </w:rPr>
        <w:t>0.30%</w:t>
      </w:r>
      <w:r>
        <w:rPr>
          <w:rFonts w:ascii="Times New Roman" w:hAnsi="Times New Roman" w:hint="eastAsia"/>
          <w:b/>
          <w:szCs w:val="21"/>
        </w:rPr>
        <w:t>，</w:t>
      </w:r>
      <w:r>
        <w:rPr>
          <w:rFonts w:ascii="Times New Roman" w:hAnsi="Times New Roman" w:hint="eastAsia"/>
          <w:b/>
          <w:szCs w:val="21"/>
        </w:rPr>
        <w:t>D</w:t>
      </w:r>
      <w:r>
        <w:rPr>
          <w:rFonts w:ascii="Times New Roman" w:hAnsi="Times New Roman" w:hint="eastAsia"/>
          <w:b/>
          <w:szCs w:val="21"/>
        </w:rPr>
        <w:t>份额为</w:t>
      </w:r>
      <w:r>
        <w:rPr>
          <w:rFonts w:ascii="Times New Roman" w:hAnsi="Times New Roman" w:hint="eastAsia"/>
          <w:b/>
          <w:szCs w:val="21"/>
        </w:rPr>
        <w:t>0.30%</w:t>
      </w:r>
      <w:r>
        <w:rPr>
          <w:rFonts w:ascii="Times New Roman" w:hAnsi="Times New Roman" w:hint="eastAsia"/>
          <w:b/>
          <w:szCs w:val="21"/>
        </w:rPr>
        <w:t>，</w:t>
      </w:r>
      <w:r>
        <w:rPr>
          <w:rFonts w:ascii="Times New Roman" w:hAnsi="Times New Roman" w:hint="eastAsia"/>
          <w:b/>
          <w:szCs w:val="21"/>
        </w:rPr>
        <w:t>E</w:t>
      </w:r>
      <w:r>
        <w:rPr>
          <w:rFonts w:ascii="Times New Roman" w:hAnsi="Times New Roman" w:hint="eastAsia"/>
          <w:b/>
          <w:szCs w:val="21"/>
        </w:rPr>
        <w:t>份额为</w:t>
      </w:r>
      <w:r>
        <w:rPr>
          <w:rFonts w:ascii="Times New Roman" w:hAnsi="Times New Roman" w:hint="eastAsia"/>
          <w:b/>
          <w:szCs w:val="21"/>
        </w:rPr>
        <w:t>0.40%</w:t>
      </w:r>
      <w:r>
        <w:rPr>
          <w:rFonts w:ascii="Times New Roman" w:hAnsi="Times New Roman" w:hint="eastAsia"/>
          <w:b/>
          <w:szCs w:val="21"/>
        </w:rPr>
        <w:t>，</w:t>
      </w:r>
      <w:r>
        <w:rPr>
          <w:rFonts w:ascii="Times New Roman" w:hAnsi="Times New Roman" w:hint="eastAsia"/>
          <w:b/>
          <w:szCs w:val="21"/>
        </w:rPr>
        <w:t>F</w:t>
      </w:r>
      <w:r>
        <w:rPr>
          <w:rFonts w:ascii="Times New Roman" w:hAnsi="Times New Roman" w:hint="eastAsia"/>
          <w:b/>
          <w:szCs w:val="21"/>
        </w:rPr>
        <w:t>份额为</w:t>
      </w:r>
      <w:r>
        <w:rPr>
          <w:rFonts w:ascii="Times New Roman" w:hAnsi="Times New Roman" w:hint="eastAsia"/>
          <w:b/>
          <w:szCs w:val="21"/>
        </w:rPr>
        <w:t>0.30%</w:t>
      </w:r>
      <w:r>
        <w:rPr>
          <w:rFonts w:ascii="Times New Roman" w:hAnsi="Times New Roman" w:hint="eastAsia"/>
          <w:b/>
          <w:szCs w:val="21"/>
        </w:rPr>
        <w:t>，</w:t>
      </w:r>
      <w:r>
        <w:rPr>
          <w:rFonts w:ascii="Times New Roman" w:hAnsi="Times New Roman" w:hint="eastAsia"/>
          <w:b/>
          <w:szCs w:val="21"/>
        </w:rPr>
        <w:t>G</w:t>
      </w:r>
      <w:r>
        <w:rPr>
          <w:rFonts w:ascii="Times New Roman" w:hAnsi="Times New Roman" w:hint="eastAsia"/>
          <w:b/>
          <w:szCs w:val="21"/>
        </w:rPr>
        <w:t>份额为</w:t>
      </w:r>
      <w:r>
        <w:rPr>
          <w:rFonts w:ascii="Times New Roman" w:hAnsi="Times New Roman" w:hint="eastAsia"/>
          <w:b/>
          <w:szCs w:val="21"/>
        </w:rPr>
        <w:t>0.30%</w:t>
      </w:r>
      <w:r>
        <w:rPr>
          <w:rFonts w:ascii="Times New Roman" w:hAnsi="Times New Roman" w:hint="eastAsia"/>
          <w:b/>
          <w:szCs w:val="21"/>
        </w:rPr>
        <w:t>，</w:t>
      </w:r>
      <w:r>
        <w:rPr>
          <w:rFonts w:ascii="Times New Roman" w:hAnsi="Times New Roman" w:hint="eastAsia"/>
          <w:b/>
          <w:szCs w:val="21"/>
        </w:rPr>
        <w:t>H</w:t>
      </w:r>
      <w:r>
        <w:rPr>
          <w:rFonts w:ascii="Times New Roman" w:hAnsi="Times New Roman" w:hint="eastAsia"/>
          <w:b/>
          <w:szCs w:val="21"/>
        </w:rPr>
        <w:t>份额为</w:t>
      </w:r>
      <w:r>
        <w:rPr>
          <w:rFonts w:ascii="Times New Roman" w:hAnsi="Times New Roman" w:hint="eastAsia"/>
          <w:b/>
          <w:szCs w:val="21"/>
        </w:rPr>
        <w:t>0</w:t>
      </w:r>
      <w:r>
        <w:rPr>
          <w:rFonts w:ascii="Times New Roman" w:hAnsi="Times New Roman"/>
          <w:b/>
          <w:szCs w:val="21"/>
        </w:rPr>
        <w:t>.30%</w:t>
      </w:r>
      <w:r>
        <w:rPr>
          <w:rFonts w:ascii="Times New Roman" w:hAnsi="Times New Roman"/>
          <w:b/>
          <w:szCs w:val="21"/>
        </w:rPr>
        <w:t>，</w:t>
      </w:r>
      <w:r>
        <w:rPr>
          <w:rFonts w:ascii="Times New Roman" w:hAnsi="Times New Roman" w:hint="eastAsia"/>
          <w:b/>
          <w:szCs w:val="21"/>
        </w:rPr>
        <w:t>I</w:t>
      </w:r>
      <w:r>
        <w:rPr>
          <w:rFonts w:ascii="Times New Roman" w:hAnsi="Times New Roman" w:hint="eastAsia"/>
          <w:b/>
          <w:szCs w:val="21"/>
        </w:rPr>
        <w:t>份额为</w:t>
      </w:r>
      <w:r>
        <w:rPr>
          <w:rFonts w:ascii="Times New Roman" w:hAnsi="Times New Roman" w:hint="eastAsia"/>
          <w:b/>
          <w:szCs w:val="21"/>
        </w:rPr>
        <w:t>0</w:t>
      </w:r>
      <w:r>
        <w:rPr>
          <w:rFonts w:ascii="Times New Roman" w:hAnsi="Times New Roman"/>
          <w:b/>
          <w:szCs w:val="21"/>
        </w:rPr>
        <w:t>.30%</w:t>
      </w:r>
      <w:r>
        <w:rPr>
          <w:rFonts w:ascii="Times New Roman" w:hAnsi="Times New Roman"/>
          <w:b/>
          <w:szCs w:val="21"/>
        </w:rPr>
        <w:t>，</w:t>
      </w:r>
      <w:r>
        <w:rPr>
          <w:rFonts w:ascii="Times New Roman" w:hAnsi="Times New Roman" w:hint="eastAsia"/>
          <w:b/>
          <w:szCs w:val="21"/>
        </w:rPr>
        <w:t>各费用率均为年化数值。以</w:t>
      </w:r>
      <w:r>
        <w:rPr>
          <w:rFonts w:ascii="Times New Roman" w:hAnsi="Times New Roman"/>
          <w:b/>
          <w:szCs w:val="21"/>
        </w:rPr>
        <w:t>A</w:t>
      </w:r>
      <w:r>
        <w:rPr>
          <w:rFonts w:ascii="Times New Roman" w:hAnsi="Times New Roman" w:hint="eastAsia"/>
          <w:b/>
          <w:szCs w:val="21"/>
        </w:rPr>
        <w:t>份额为例，</w:t>
      </w:r>
      <w:r>
        <w:rPr>
          <w:rFonts w:ascii="Times New Roman" w:hAnsi="Times New Roman"/>
          <w:b/>
          <w:szCs w:val="21"/>
        </w:rPr>
        <w:t>A</w:t>
      </w:r>
      <w:r>
        <w:rPr>
          <w:rFonts w:ascii="Times New Roman" w:hAnsi="Times New Roman" w:hint="eastAsia"/>
          <w:b/>
          <w:szCs w:val="21"/>
        </w:rPr>
        <w:t>份额每日应计提的销售服务费</w:t>
      </w:r>
      <w:r>
        <w:rPr>
          <w:rFonts w:ascii="Times New Roman" w:hAnsi="Times New Roman"/>
          <w:b/>
          <w:szCs w:val="21"/>
        </w:rPr>
        <w:t>=A</w:t>
      </w:r>
      <w:r>
        <w:rPr>
          <w:rFonts w:ascii="Times New Roman" w:hAnsi="Times New Roman" w:hint="eastAsia"/>
          <w:b/>
          <w:szCs w:val="21"/>
        </w:rPr>
        <w:t>份额前一自然日资产净值×</w:t>
      </w:r>
      <w:r>
        <w:rPr>
          <w:rFonts w:ascii="Times New Roman" w:hAnsi="Times New Roman" w:hint="eastAsia"/>
          <w:b/>
          <w:szCs w:val="21"/>
        </w:rPr>
        <w:t>0</w:t>
      </w:r>
      <w:r>
        <w:rPr>
          <w:rFonts w:ascii="Times New Roman" w:hAnsi="Times New Roman"/>
          <w:b/>
          <w:szCs w:val="21"/>
        </w:rPr>
        <w:t>.30%</w:t>
      </w:r>
      <w:r>
        <w:rPr>
          <w:rFonts w:ascii="Times New Roman" w:hAnsi="Times New Roman" w:hint="eastAsia"/>
          <w:b/>
          <w:szCs w:val="21"/>
        </w:rPr>
        <w:t>÷</w:t>
      </w:r>
      <w:r>
        <w:rPr>
          <w:rFonts w:ascii="Times New Roman" w:hAnsi="Times New Roman"/>
          <w:b/>
          <w:szCs w:val="21"/>
        </w:rPr>
        <w:t>365</w:t>
      </w:r>
      <w:r>
        <w:rPr>
          <w:rFonts w:ascii="Times New Roman" w:hAnsi="Times New Roman" w:hint="eastAsia"/>
          <w:b/>
          <w:szCs w:val="21"/>
        </w:rPr>
        <w:t>。</w:t>
      </w:r>
    </w:p>
    <w:p w:rsidR="000715C0" w:rsidRDefault="00CB504C">
      <w:pPr>
        <w:autoSpaceDE w:val="0"/>
        <w:autoSpaceDN w:val="0"/>
        <w:adjustRightInd w:val="0"/>
        <w:spacing w:line="276" w:lineRule="auto"/>
        <w:ind w:leftChars="86" w:left="181" w:firstLineChars="200" w:firstLine="422"/>
        <w:jc w:val="left"/>
        <w:rPr>
          <w:rFonts w:ascii="Times New Roman" w:hAnsi="Times New Roman"/>
          <w:b/>
          <w:szCs w:val="21"/>
        </w:rPr>
      </w:pPr>
      <w:r>
        <w:rPr>
          <w:rFonts w:ascii="Times New Roman" w:hAnsi="Times New Roman" w:hint="eastAsia"/>
          <w:b/>
          <w:szCs w:val="21"/>
        </w:rPr>
        <w:t>（</w:t>
      </w:r>
      <w:r>
        <w:rPr>
          <w:rFonts w:ascii="Times New Roman" w:hAnsi="Times New Roman"/>
          <w:b/>
          <w:szCs w:val="21"/>
        </w:rPr>
        <w:t>2</w:t>
      </w:r>
      <w:r>
        <w:rPr>
          <w:rFonts w:ascii="Times New Roman" w:hAnsi="Times New Roman" w:hint="eastAsia"/>
          <w:b/>
          <w:szCs w:val="21"/>
        </w:rPr>
        <w:t>）固定管理费：</w:t>
      </w:r>
      <w:r>
        <w:rPr>
          <w:rFonts w:ascii="Times New Roman" w:hAnsi="Times New Roman" w:hint="eastAsia"/>
          <w:b/>
          <w:szCs w:val="21"/>
        </w:rPr>
        <w:t>A</w:t>
      </w:r>
      <w:r>
        <w:rPr>
          <w:rFonts w:ascii="Times New Roman" w:hAnsi="Times New Roman" w:hint="eastAsia"/>
          <w:b/>
          <w:szCs w:val="21"/>
        </w:rPr>
        <w:t>份额为</w:t>
      </w:r>
      <w:r>
        <w:rPr>
          <w:rFonts w:ascii="Times New Roman" w:hAnsi="Times New Roman" w:hint="eastAsia"/>
          <w:b/>
          <w:szCs w:val="21"/>
        </w:rPr>
        <w:t>0.70%</w:t>
      </w:r>
      <w:r>
        <w:rPr>
          <w:rFonts w:ascii="Times New Roman" w:hAnsi="Times New Roman" w:hint="eastAsia"/>
          <w:b/>
          <w:szCs w:val="21"/>
        </w:rPr>
        <w:t>，</w:t>
      </w:r>
      <w:r>
        <w:rPr>
          <w:rFonts w:ascii="Times New Roman" w:hAnsi="Times New Roman" w:hint="eastAsia"/>
          <w:b/>
          <w:szCs w:val="21"/>
        </w:rPr>
        <w:t>B</w:t>
      </w:r>
      <w:r>
        <w:rPr>
          <w:rFonts w:ascii="Times New Roman" w:hAnsi="Times New Roman" w:hint="eastAsia"/>
          <w:b/>
          <w:szCs w:val="21"/>
        </w:rPr>
        <w:t>份额为</w:t>
      </w:r>
      <w:r>
        <w:rPr>
          <w:rFonts w:ascii="Times New Roman" w:hAnsi="Times New Roman" w:hint="eastAsia"/>
          <w:b/>
          <w:szCs w:val="21"/>
        </w:rPr>
        <w:t>0.70%</w:t>
      </w:r>
      <w:r>
        <w:rPr>
          <w:rFonts w:ascii="Times New Roman" w:hAnsi="Times New Roman" w:hint="eastAsia"/>
          <w:b/>
          <w:szCs w:val="21"/>
        </w:rPr>
        <w:t>，</w:t>
      </w:r>
      <w:r>
        <w:rPr>
          <w:rFonts w:ascii="Times New Roman" w:hAnsi="Times New Roman" w:hint="eastAsia"/>
          <w:b/>
          <w:szCs w:val="21"/>
        </w:rPr>
        <w:t>C</w:t>
      </w:r>
      <w:r>
        <w:rPr>
          <w:rFonts w:ascii="Times New Roman" w:hAnsi="Times New Roman" w:hint="eastAsia"/>
          <w:b/>
          <w:szCs w:val="21"/>
        </w:rPr>
        <w:t>份额为</w:t>
      </w:r>
      <w:r>
        <w:rPr>
          <w:rFonts w:ascii="Times New Roman" w:hAnsi="Times New Roman" w:hint="eastAsia"/>
          <w:b/>
          <w:szCs w:val="21"/>
        </w:rPr>
        <w:t>0.70%</w:t>
      </w:r>
      <w:r>
        <w:rPr>
          <w:rFonts w:ascii="Times New Roman" w:hAnsi="Times New Roman" w:hint="eastAsia"/>
          <w:b/>
          <w:szCs w:val="21"/>
        </w:rPr>
        <w:t>，</w:t>
      </w:r>
      <w:r>
        <w:rPr>
          <w:rFonts w:ascii="Times New Roman" w:hAnsi="Times New Roman" w:hint="eastAsia"/>
          <w:b/>
          <w:szCs w:val="21"/>
        </w:rPr>
        <w:t>D</w:t>
      </w:r>
      <w:r>
        <w:rPr>
          <w:rFonts w:ascii="Times New Roman" w:hAnsi="Times New Roman" w:hint="eastAsia"/>
          <w:b/>
          <w:szCs w:val="21"/>
        </w:rPr>
        <w:t>份额为</w:t>
      </w:r>
      <w:r>
        <w:rPr>
          <w:rFonts w:ascii="Times New Roman" w:hAnsi="Times New Roman" w:hint="eastAsia"/>
          <w:b/>
          <w:szCs w:val="21"/>
        </w:rPr>
        <w:t>0.70%</w:t>
      </w:r>
      <w:r>
        <w:rPr>
          <w:rFonts w:ascii="Times New Roman" w:hAnsi="Times New Roman" w:hint="eastAsia"/>
          <w:b/>
          <w:szCs w:val="21"/>
        </w:rPr>
        <w:t>，</w:t>
      </w:r>
      <w:r>
        <w:rPr>
          <w:rFonts w:ascii="Times New Roman" w:hAnsi="Times New Roman" w:hint="eastAsia"/>
          <w:b/>
          <w:szCs w:val="21"/>
        </w:rPr>
        <w:t>E</w:t>
      </w:r>
      <w:r>
        <w:rPr>
          <w:rFonts w:ascii="Times New Roman" w:hAnsi="Times New Roman" w:hint="eastAsia"/>
          <w:b/>
          <w:szCs w:val="21"/>
        </w:rPr>
        <w:t>份额为</w:t>
      </w:r>
      <w:r>
        <w:rPr>
          <w:rFonts w:ascii="Times New Roman" w:hAnsi="Times New Roman" w:hint="eastAsia"/>
          <w:b/>
          <w:szCs w:val="21"/>
        </w:rPr>
        <w:t>0.30%</w:t>
      </w:r>
      <w:r>
        <w:rPr>
          <w:rFonts w:ascii="Times New Roman" w:hAnsi="Times New Roman" w:hint="eastAsia"/>
          <w:b/>
          <w:szCs w:val="21"/>
        </w:rPr>
        <w:t>，</w:t>
      </w:r>
      <w:r>
        <w:rPr>
          <w:rFonts w:ascii="Times New Roman" w:hAnsi="Times New Roman" w:hint="eastAsia"/>
          <w:b/>
          <w:szCs w:val="21"/>
        </w:rPr>
        <w:t>F</w:t>
      </w:r>
      <w:r>
        <w:rPr>
          <w:rFonts w:ascii="Times New Roman" w:hAnsi="Times New Roman" w:hint="eastAsia"/>
          <w:b/>
          <w:szCs w:val="21"/>
        </w:rPr>
        <w:t>份额为</w:t>
      </w:r>
      <w:r>
        <w:rPr>
          <w:rFonts w:ascii="Times New Roman" w:hAnsi="Times New Roman" w:hint="eastAsia"/>
          <w:b/>
          <w:szCs w:val="21"/>
        </w:rPr>
        <w:t>0.</w:t>
      </w:r>
      <w:r>
        <w:rPr>
          <w:rFonts w:ascii="Times New Roman" w:hAnsi="Times New Roman" w:hint="eastAsia"/>
          <w:b/>
          <w:szCs w:val="21"/>
        </w:rPr>
        <w:t>7</w:t>
      </w:r>
      <w:r>
        <w:rPr>
          <w:rFonts w:ascii="Times New Roman" w:hAnsi="Times New Roman" w:hint="eastAsia"/>
          <w:b/>
          <w:szCs w:val="21"/>
        </w:rPr>
        <w:t>0%</w:t>
      </w:r>
      <w:r>
        <w:rPr>
          <w:rFonts w:ascii="Times New Roman" w:hAnsi="Times New Roman" w:hint="eastAsia"/>
          <w:b/>
          <w:szCs w:val="21"/>
        </w:rPr>
        <w:t>，</w:t>
      </w:r>
      <w:r>
        <w:rPr>
          <w:rFonts w:ascii="Times New Roman" w:hAnsi="Times New Roman" w:hint="eastAsia"/>
          <w:b/>
          <w:szCs w:val="21"/>
        </w:rPr>
        <w:t>G</w:t>
      </w:r>
      <w:r>
        <w:rPr>
          <w:rFonts w:ascii="Times New Roman" w:hAnsi="Times New Roman" w:hint="eastAsia"/>
          <w:b/>
          <w:szCs w:val="21"/>
        </w:rPr>
        <w:t>份额为</w:t>
      </w:r>
      <w:r>
        <w:rPr>
          <w:rFonts w:ascii="Times New Roman" w:hAnsi="Times New Roman" w:hint="eastAsia"/>
          <w:b/>
          <w:szCs w:val="21"/>
        </w:rPr>
        <w:t>0.30%</w:t>
      </w:r>
      <w:r>
        <w:rPr>
          <w:rFonts w:ascii="Times New Roman" w:hAnsi="Times New Roman" w:hint="eastAsia"/>
          <w:b/>
          <w:szCs w:val="21"/>
        </w:rPr>
        <w:t>，</w:t>
      </w:r>
      <w:r>
        <w:rPr>
          <w:rFonts w:ascii="Times New Roman" w:hAnsi="Times New Roman" w:hint="eastAsia"/>
          <w:b/>
          <w:szCs w:val="21"/>
        </w:rPr>
        <w:t>H</w:t>
      </w:r>
      <w:r>
        <w:rPr>
          <w:rFonts w:ascii="Times New Roman" w:hAnsi="Times New Roman" w:hint="eastAsia"/>
          <w:b/>
          <w:szCs w:val="21"/>
        </w:rPr>
        <w:t>份额为</w:t>
      </w:r>
      <w:r>
        <w:rPr>
          <w:rFonts w:ascii="Times New Roman" w:hAnsi="Times New Roman" w:hint="eastAsia"/>
          <w:b/>
          <w:szCs w:val="21"/>
        </w:rPr>
        <w:t>0</w:t>
      </w:r>
      <w:r>
        <w:rPr>
          <w:rFonts w:ascii="Times New Roman" w:hAnsi="Times New Roman"/>
          <w:b/>
          <w:szCs w:val="21"/>
        </w:rPr>
        <w:t>.30%</w:t>
      </w:r>
      <w:r>
        <w:rPr>
          <w:rFonts w:ascii="Times New Roman" w:hAnsi="Times New Roman"/>
          <w:b/>
          <w:szCs w:val="21"/>
        </w:rPr>
        <w:t>，</w:t>
      </w:r>
      <w:r>
        <w:rPr>
          <w:rFonts w:ascii="Times New Roman" w:hAnsi="Times New Roman" w:hint="eastAsia"/>
          <w:b/>
          <w:szCs w:val="21"/>
        </w:rPr>
        <w:t>I</w:t>
      </w:r>
      <w:r>
        <w:rPr>
          <w:rFonts w:ascii="Times New Roman" w:hAnsi="Times New Roman" w:hint="eastAsia"/>
          <w:b/>
          <w:szCs w:val="21"/>
        </w:rPr>
        <w:t>份额为</w:t>
      </w:r>
      <w:r>
        <w:rPr>
          <w:rFonts w:ascii="Times New Roman" w:hAnsi="Times New Roman" w:hint="eastAsia"/>
          <w:b/>
          <w:szCs w:val="21"/>
        </w:rPr>
        <w:t>0.70%</w:t>
      </w:r>
      <w:r>
        <w:rPr>
          <w:rFonts w:ascii="Times New Roman" w:hAnsi="Times New Roman" w:hint="eastAsia"/>
          <w:b/>
          <w:szCs w:val="21"/>
        </w:rPr>
        <w:t>，各费用率均为年化数值。以</w:t>
      </w:r>
      <w:r>
        <w:rPr>
          <w:rFonts w:ascii="Times New Roman" w:hAnsi="Times New Roman"/>
          <w:b/>
          <w:szCs w:val="21"/>
        </w:rPr>
        <w:t>A</w:t>
      </w:r>
      <w:r>
        <w:rPr>
          <w:rFonts w:ascii="Times New Roman" w:hAnsi="Times New Roman" w:hint="eastAsia"/>
          <w:b/>
          <w:szCs w:val="21"/>
        </w:rPr>
        <w:t>份额为例，</w:t>
      </w:r>
      <w:r>
        <w:rPr>
          <w:rFonts w:ascii="Times New Roman" w:hAnsi="Times New Roman"/>
          <w:b/>
          <w:szCs w:val="21"/>
        </w:rPr>
        <w:t>A</w:t>
      </w:r>
      <w:r>
        <w:rPr>
          <w:rFonts w:ascii="Times New Roman" w:hAnsi="Times New Roman" w:hint="eastAsia"/>
          <w:b/>
          <w:szCs w:val="21"/>
        </w:rPr>
        <w:t>份额每日应计提的固定管理费</w:t>
      </w:r>
      <w:r>
        <w:rPr>
          <w:rFonts w:ascii="Times New Roman" w:hAnsi="Times New Roman"/>
          <w:b/>
          <w:szCs w:val="21"/>
        </w:rPr>
        <w:t>=A</w:t>
      </w:r>
      <w:r>
        <w:rPr>
          <w:rFonts w:ascii="Times New Roman" w:hAnsi="Times New Roman" w:hint="eastAsia"/>
          <w:b/>
          <w:szCs w:val="21"/>
        </w:rPr>
        <w:t>份额前一自然日资产净值×</w:t>
      </w:r>
      <w:r>
        <w:rPr>
          <w:rFonts w:ascii="Times New Roman" w:hAnsi="Times New Roman" w:hint="eastAsia"/>
          <w:b/>
          <w:szCs w:val="21"/>
        </w:rPr>
        <w:t>0</w:t>
      </w:r>
      <w:r>
        <w:rPr>
          <w:rFonts w:ascii="Times New Roman" w:hAnsi="Times New Roman"/>
          <w:b/>
          <w:szCs w:val="21"/>
        </w:rPr>
        <w:t>.70%</w:t>
      </w:r>
      <w:r>
        <w:rPr>
          <w:rFonts w:ascii="Times New Roman" w:hAnsi="Times New Roman" w:hint="eastAsia"/>
          <w:b/>
          <w:szCs w:val="21"/>
        </w:rPr>
        <w:t>÷</w:t>
      </w:r>
      <w:r>
        <w:rPr>
          <w:rFonts w:ascii="Times New Roman" w:hAnsi="Times New Roman"/>
          <w:b/>
          <w:szCs w:val="21"/>
        </w:rPr>
        <w:t>365</w:t>
      </w:r>
      <w:r>
        <w:rPr>
          <w:rFonts w:ascii="Times New Roman" w:hAnsi="Times New Roman" w:hint="eastAsia"/>
          <w:b/>
          <w:szCs w:val="21"/>
        </w:rPr>
        <w:t>。</w:t>
      </w:r>
    </w:p>
    <w:p w:rsidR="000715C0" w:rsidRDefault="00CB504C">
      <w:pPr>
        <w:autoSpaceDE w:val="0"/>
        <w:autoSpaceDN w:val="0"/>
        <w:adjustRightInd w:val="0"/>
        <w:spacing w:line="276" w:lineRule="auto"/>
        <w:ind w:firstLineChars="200" w:firstLine="422"/>
        <w:jc w:val="left"/>
        <w:rPr>
          <w:rFonts w:ascii="Times New Roman" w:hAnsi="Times New Roman"/>
          <w:b/>
          <w:szCs w:val="21"/>
        </w:rPr>
      </w:pPr>
      <w:r>
        <w:rPr>
          <w:rFonts w:ascii="Times New Roman" w:hAnsi="Times New Roman" w:hint="eastAsia"/>
          <w:b/>
          <w:szCs w:val="21"/>
        </w:rPr>
        <w:t>（</w:t>
      </w:r>
      <w:r>
        <w:rPr>
          <w:rFonts w:ascii="Times New Roman" w:hAnsi="Times New Roman"/>
          <w:b/>
          <w:szCs w:val="21"/>
        </w:rPr>
        <w:t>3</w:t>
      </w:r>
      <w:r>
        <w:rPr>
          <w:rFonts w:ascii="Times New Roman" w:hAnsi="Times New Roman" w:hint="eastAsia"/>
          <w:b/>
          <w:szCs w:val="21"/>
        </w:rPr>
        <w:t>）托管费：</w:t>
      </w:r>
      <w:r>
        <w:rPr>
          <w:rFonts w:ascii="Times New Roman" w:hAnsi="Times New Roman" w:hint="eastAsia"/>
          <w:b/>
          <w:szCs w:val="21"/>
        </w:rPr>
        <w:t>0</w:t>
      </w:r>
      <w:r>
        <w:rPr>
          <w:rFonts w:ascii="Times New Roman" w:hAnsi="Times New Roman"/>
          <w:b/>
          <w:szCs w:val="21"/>
        </w:rPr>
        <w:t>.007%</w:t>
      </w:r>
      <w:r>
        <w:rPr>
          <w:rFonts w:ascii="Times New Roman" w:hAnsi="Times New Roman" w:hint="eastAsia"/>
          <w:b/>
          <w:szCs w:val="21"/>
        </w:rPr>
        <w:t>，该费用率为年化数值。每日应计提的托管费</w:t>
      </w:r>
      <w:r>
        <w:rPr>
          <w:rFonts w:ascii="Times New Roman" w:hAnsi="Times New Roman"/>
          <w:b/>
          <w:szCs w:val="21"/>
        </w:rPr>
        <w:t>=</w:t>
      </w:r>
      <w:r>
        <w:rPr>
          <w:rFonts w:ascii="Times New Roman" w:hAnsi="Times New Roman" w:hint="eastAsia"/>
          <w:b/>
          <w:szCs w:val="21"/>
        </w:rPr>
        <w:t>理财产品前一自然日资产净值×</w:t>
      </w:r>
      <w:r>
        <w:rPr>
          <w:rFonts w:ascii="Times New Roman" w:hAnsi="Times New Roman"/>
          <w:b/>
          <w:szCs w:val="21"/>
        </w:rPr>
        <w:t>0.007%</w:t>
      </w:r>
      <w:r>
        <w:rPr>
          <w:rFonts w:ascii="Times New Roman" w:hAnsi="Times New Roman" w:hint="eastAsia"/>
          <w:b/>
          <w:szCs w:val="21"/>
        </w:rPr>
        <w:t>÷</w:t>
      </w:r>
      <w:r>
        <w:rPr>
          <w:rFonts w:ascii="Times New Roman" w:hAnsi="Times New Roman"/>
          <w:b/>
          <w:szCs w:val="21"/>
        </w:rPr>
        <w:t>365</w:t>
      </w:r>
      <w:r>
        <w:rPr>
          <w:rFonts w:ascii="Times New Roman" w:hAnsi="Times New Roman" w:hint="eastAsia"/>
          <w:b/>
          <w:szCs w:val="21"/>
        </w:rPr>
        <w:t>。</w:t>
      </w:r>
      <w:bookmarkEnd w:id="27"/>
      <w:bookmarkEnd w:id="28"/>
    </w:p>
    <w:p w:rsidR="000715C0" w:rsidRDefault="00CB504C">
      <w:pPr>
        <w:pStyle w:val="a4"/>
        <w:ind w:firstLineChars="200" w:firstLine="422"/>
        <w:rPr>
          <w:b/>
        </w:rPr>
      </w:pPr>
      <w:r>
        <w:rPr>
          <w:rFonts w:ascii="Times New Roman" w:hAnsi="Times New Roman"/>
          <w:b/>
          <w:szCs w:val="21"/>
        </w:rPr>
        <w:t>2</w:t>
      </w:r>
      <w:r>
        <w:rPr>
          <w:rFonts w:ascii="Times New Roman" w:hAnsi="Times New Roman" w:hint="eastAsia"/>
          <w:b/>
          <w:szCs w:val="21"/>
        </w:rPr>
        <w:t>、其他费用，包括但不限于交易手续费、账户服务费、审计费、律师费、诉讼费、信息披露费、清算费、执行费用等应由产品承担的费用，</w:t>
      </w:r>
      <w:r>
        <w:rPr>
          <w:rFonts w:hint="eastAsia"/>
          <w:b/>
        </w:rPr>
        <w:t>具体按照实际发生列支。</w:t>
      </w:r>
    </w:p>
    <w:p w:rsidR="000715C0" w:rsidRDefault="00CB504C">
      <w:pPr>
        <w:autoSpaceDE w:val="0"/>
        <w:autoSpaceDN w:val="0"/>
        <w:adjustRightInd w:val="0"/>
        <w:spacing w:line="276" w:lineRule="auto"/>
        <w:ind w:firstLineChars="200" w:firstLine="422"/>
        <w:jc w:val="left"/>
        <w:rPr>
          <w:rFonts w:ascii="Times New Roman" w:hAnsi="Times New Roman"/>
          <w:b/>
          <w:szCs w:val="21"/>
        </w:rPr>
      </w:pPr>
      <w:r>
        <w:rPr>
          <w:rFonts w:ascii="Times New Roman" w:hAnsi="Times New Roman"/>
          <w:b/>
          <w:szCs w:val="21"/>
        </w:rPr>
        <w:t>3</w:t>
      </w:r>
      <w:r>
        <w:rPr>
          <w:rFonts w:ascii="Times New Roman" w:hAnsi="Times New Roman" w:hint="eastAsia"/>
          <w:b/>
          <w:szCs w:val="21"/>
        </w:rPr>
        <w:t>、产品管理人有权根据相关法律和国家政策规定，对</w:t>
      </w:r>
      <w:bookmarkStart w:id="29" w:name="_Hlk154758104"/>
      <w:r>
        <w:rPr>
          <w:rFonts w:ascii="Times New Roman" w:hAnsi="Times New Roman" w:hint="eastAsia"/>
          <w:b/>
          <w:szCs w:val="21"/>
        </w:rPr>
        <w:t>理财产品费用的收费项目</w:t>
      </w:r>
      <w:bookmarkEnd w:id="29"/>
      <w:r>
        <w:rPr>
          <w:rFonts w:ascii="Times New Roman" w:hAnsi="Times New Roman" w:hint="eastAsia"/>
          <w:b/>
          <w:szCs w:val="21"/>
        </w:rPr>
        <w:t>、收费条件、收费标准和收费方式等进行调整。产品管理人对费用的调整将依约定进行公告。若投资者不接受变更，可通过赎回退出本产品。投资者未在变更生效前提出赎回申请的，视为同意接受变更后条款，产品管理人有权按照变更后的约定内容进行操作。</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（三）</w:t>
      </w:r>
      <w:bookmarkStart w:id="30" w:name="_Hlk116985575"/>
      <w:r>
        <w:rPr>
          <w:rFonts w:ascii="Times New Roman" w:hAnsi="Times New Roman" w:hint="eastAsia"/>
          <w:bCs/>
          <w:szCs w:val="21"/>
        </w:rPr>
        <w:t>投资者收益计算示例</w:t>
      </w:r>
      <w:bookmarkEnd w:id="30"/>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情景</w:t>
      </w:r>
      <w:r>
        <w:rPr>
          <w:rFonts w:ascii="Times New Roman" w:hAnsi="Times New Roman" w:hint="eastAsia"/>
          <w:bCs/>
          <w:szCs w:val="21"/>
        </w:rPr>
        <w:t>1</w:t>
      </w:r>
      <w:r>
        <w:rPr>
          <w:rFonts w:ascii="Times New Roman" w:hAnsi="Times New Roman" w:hint="eastAsia"/>
          <w:bCs/>
          <w:szCs w:val="21"/>
        </w:rPr>
        <w:t>：以某投资者投资</w:t>
      </w:r>
      <w:r>
        <w:rPr>
          <w:rFonts w:ascii="Times New Roman" w:hAnsi="Times New Roman" w:hint="eastAsia"/>
          <w:bCs/>
          <w:szCs w:val="21"/>
        </w:rPr>
        <w:t>10</w:t>
      </w:r>
      <w:r>
        <w:rPr>
          <w:rFonts w:ascii="Times New Roman" w:hAnsi="Times New Roman" w:hint="eastAsia"/>
          <w:bCs/>
          <w:szCs w:val="21"/>
        </w:rPr>
        <w:t>万元</w:t>
      </w:r>
      <w:bookmarkStart w:id="31" w:name="_Hlk128679037"/>
      <w:r>
        <w:rPr>
          <w:rFonts w:ascii="Times New Roman" w:hAnsi="Times New Roman" w:cs="仿宋_GB2312" w:hint="eastAsia"/>
          <w:szCs w:val="21"/>
        </w:rPr>
        <w:t>A</w:t>
      </w:r>
      <w:r>
        <w:rPr>
          <w:rFonts w:ascii="Times New Roman" w:hAnsi="Times New Roman" w:cs="仿宋_GB2312" w:hint="eastAsia"/>
          <w:szCs w:val="21"/>
        </w:rPr>
        <w:t>份额</w:t>
      </w:r>
      <w:bookmarkEnd w:id="31"/>
      <w:r>
        <w:rPr>
          <w:rFonts w:ascii="Times New Roman" w:hAnsi="Times New Roman" w:hint="eastAsia"/>
          <w:bCs/>
          <w:szCs w:val="21"/>
        </w:rPr>
        <w:t>为例</w:t>
      </w:r>
      <w:r>
        <w:rPr>
          <w:rFonts w:ascii="Times New Roman" w:hAnsi="Times New Roman" w:hint="eastAsia"/>
          <w:bCs/>
          <w:szCs w:val="21"/>
        </w:rPr>
        <w:t>，购买时单位净值为</w:t>
      </w:r>
      <w:r>
        <w:rPr>
          <w:rFonts w:ascii="Times New Roman" w:hAnsi="Times New Roman" w:hint="eastAsia"/>
          <w:bCs/>
          <w:szCs w:val="21"/>
        </w:rPr>
        <w:t>1.0000</w:t>
      </w:r>
      <w:r>
        <w:rPr>
          <w:rFonts w:ascii="Times New Roman" w:hAnsi="Times New Roman" w:hint="eastAsia"/>
          <w:bCs/>
          <w:szCs w:val="21"/>
        </w:rPr>
        <w:t>，折算份额为</w:t>
      </w:r>
      <w:r>
        <w:rPr>
          <w:rFonts w:ascii="Times New Roman" w:hAnsi="Times New Roman" w:hint="eastAsia"/>
          <w:bCs/>
          <w:szCs w:val="21"/>
        </w:rPr>
        <w:t>100,000.00</w:t>
      </w:r>
      <w:r>
        <w:rPr>
          <w:rFonts w:ascii="Times New Roman" w:hAnsi="Times New Roman" w:hint="eastAsia"/>
          <w:bCs/>
          <w:szCs w:val="21"/>
        </w:rPr>
        <w:t>份。持有</w:t>
      </w:r>
      <w:r>
        <w:rPr>
          <w:rFonts w:ascii="Times New Roman" w:hAnsi="Times New Roman" w:hint="eastAsia"/>
          <w:bCs/>
          <w:szCs w:val="21"/>
        </w:rPr>
        <w:t>365</w:t>
      </w:r>
      <w:r>
        <w:rPr>
          <w:rFonts w:ascii="Times New Roman" w:hAnsi="Times New Roman" w:hint="eastAsia"/>
          <w:bCs/>
          <w:szCs w:val="21"/>
        </w:rPr>
        <w:t>天后赎回，开放日（</w:t>
      </w:r>
      <w:r>
        <w:rPr>
          <w:rFonts w:ascii="Times New Roman" w:hAnsi="Times New Roman" w:hint="eastAsia"/>
          <w:bCs/>
          <w:szCs w:val="21"/>
        </w:rPr>
        <w:t>T</w:t>
      </w:r>
      <w:r>
        <w:rPr>
          <w:rFonts w:ascii="Times New Roman" w:hAnsi="Times New Roman" w:hint="eastAsia"/>
          <w:bCs/>
          <w:szCs w:val="21"/>
        </w:rPr>
        <w:t>日）扣除销售服务费、固定管理费、托管费等相关税费后，单位净值为</w:t>
      </w:r>
      <w:r>
        <w:rPr>
          <w:rFonts w:ascii="Times New Roman" w:hAnsi="Times New Roman" w:hint="eastAsia"/>
          <w:bCs/>
          <w:szCs w:val="21"/>
        </w:rPr>
        <w:t>1.0410</w:t>
      </w:r>
      <w:r>
        <w:rPr>
          <w:rFonts w:ascii="Times New Roman" w:hAnsi="Times New Roman" w:hint="eastAsia"/>
          <w:bCs/>
          <w:szCs w:val="21"/>
        </w:rPr>
        <w:t>，投资者持有期内无分红，此时，投资者赎回金额为：</w:t>
      </w:r>
      <w:r>
        <w:rPr>
          <w:rFonts w:ascii="Times New Roman" w:hAnsi="Times New Roman" w:hint="eastAsia"/>
          <w:bCs/>
          <w:szCs w:val="21"/>
        </w:rPr>
        <w:t>100,000.00</w:t>
      </w:r>
      <w:r>
        <w:rPr>
          <w:rFonts w:ascii="Times New Roman" w:hAnsi="Times New Roman" w:hint="eastAsia"/>
          <w:bCs/>
          <w:szCs w:val="21"/>
        </w:rPr>
        <w:t>×</w:t>
      </w:r>
      <w:r>
        <w:rPr>
          <w:rFonts w:ascii="Times New Roman" w:hAnsi="Times New Roman" w:hint="eastAsia"/>
          <w:bCs/>
          <w:szCs w:val="21"/>
        </w:rPr>
        <w:t>1.0410=104,100.00</w:t>
      </w:r>
      <w:r>
        <w:rPr>
          <w:rFonts w:ascii="Times New Roman" w:hAnsi="Times New Roman" w:hint="eastAsia"/>
          <w:bCs/>
          <w:szCs w:val="21"/>
        </w:rPr>
        <w:t>元，投资者收益为：</w:t>
      </w:r>
      <w:r>
        <w:rPr>
          <w:rFonts w:ascii="Times New Roman" w:hAnsi="Times New Roman" w:hint="eastAsia"/>
          <w:bCs/>
          <w:szCs w:val="21"/>
        </w:rPr>
        <w:t>104,100.00-100,000.00=4,100.00</w:t>
      </w:r>
      <w:r>
        <w:rPr>
          <w:rFonts w:ascii="Times New Roman" w:hAnsi="Times New Roman" w:hint="eastAsia"/>
          <w:bCs/>
          <w:szCs w:val="21"/>
        </w:rPr>
        <w:t>元。</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情景</w:t>
      </w:r>
      <w:r>
        <w:rPr>
          <w:rFonts w:ascii="Times New Roman" w:hAnsi="Times New Roman" w:hint="eastAsia"/>
          <w:bCs/>
          <w:szCs w:val="21"/>
        </w:rPr>
        <w:t>2</w:t>
      </w:r>
      <w:r>
        <w:rPr>
          <w:rFonts w:ascii="Times New Roman" w:hAnsi="Times New Roman" w:hint="eastAsia"/>
          <w:bCs/>
          <w:szCs w:val="21"/>
        </w:rPr>
        <w:t>：以某投资者投资</w:t>
      </w:r>
      <w:r>
        <w:rPr>
          <w:rFonts w:ascii="Times New Roman" w:hAnsi="Times New Roman" w:hint="eastAsia"/>
          <w:bCs/>
          <w:szCs w:val="21"/>
        </w:rPr>
        <w:t>10</w:t>
      </w:r>
      <w:r>
        <w:rPr>
          <w:rFonts w:ascii="Times New Roman" w:hAnsi="Times New Roman" w:hint="eastAsia"/>
          <w:bCs/>
          <w:szCs w:val="21"/>
        </w:rPr>
        <w:t>万元</w:t>
      </w:r>
      <w:r>
        <w:rPr>
          <w:rFonts w:ascii="Times New Roman" w:hAnsi="Times New Roman" w:cs="仿宋_GB2312" w:hint="eastAsia"/>
          <w:szCs w:val="21"/>
        </w:rPr>
        <w:t>A</w:t>
      </w:r>
      <w:r>
        <w:rPr>
          <w:rFonts w:ascii="Times New Roman" w:hAnsi="Times New Roman" w:cs="仿宋_GB2312" w:hint="eastAsia"/>
          <w:szCs w:val="21"/>
        </w:rPr>
        <w:t>份额</w:t>
      </w:r>
      <w:r>
        <w:rPr>
          <w:rFonts w:ascii="Times New Roman" w:hAnsi="Times New Roman" w:hint="eastAsia"/>
          <w:bCs/>
          <w:szCs w:val="21"/>
        </w:rPr>
        <w:t>为例，购买时单位净值为</w:t>
      </w:r>
      <w:r>
        <w:rPr>
          <w:rFonts w:ascii="Times New Roman" w:hAnsi="Times New Roman" w:hint="eastAsia"/>
          <w:bCs/>
          <w:szCs w:val="21"/>
        </w:rPr>
        <w:t>1.0000</w:t>
      </w:r>
      <w:r>
        <w:rPr>
          <w:rFonts w:ascii="Times New Roman" w:hAnsi="Times New Roman" w:hint="eastAsia"/>
          <w:bCs/>
          <w:szCs w:val="21"/>
        </w:rPr>
        <w:t>，折算份额为</w:t>
      </w:r>
      <w:r>
        <w:rPr>
          <w:rFonts w:ascii="Times New Roman" w:hAnsi="Times New Roman" w:hint="eastAsia"/>
          <w:bCs/>
          <w:szCs w:val="21"/>
        </w:rPr>
        <w:t>100,000.00</w:t>
      </w:r>
      <w:r>
        <w:rPr>
          <w:rFonts w:ascii="Times New Roman" w:hAnsi="Times New Roman" w:hint="eastAsia"/>
          <w:bCs/>
          <w:szCs w:val="21"/>
        </w:rPr>
        <w:t>份。持有</w:t>
      </w:r>
      <w:r>
        <w:rPr>
          <w:rFonts w:ascii="Times New Roman" w:hAnsi="Times New Roman" w:hint="eastAsia"/>
          <w:bCs/>
          <w:szCs w:val="21"/>
        </w:rPr>
        <w:t>365</w:t>
      </w:r>
      <w:r>
        <w:rPr>
          <w:rFonts w:ascii="Times New Roman" w:hAnsi="Times New Roman" w:hint="eastAsia"/>
          <w:bCs/>
          <w:szCs w:val="21"/>
        </w:rPr>
        <w:t>天赎回，开放日（</w:t>
      </w:r>
      <w:r>
        <w:rPr>
          <w:rFonts w:ascii="Times New Roman" w:hAnsi="Times New Roman" w:hint="eastAsia"/>
          <w:bCs/>
          <w:szCs w:val="21"/>
        </w:rPr>
        <w:t>T</w:t>
      </w:r>
      <w:r>
        <w:rPr>
          <w:rFonts w:ascii="Times New Roman" w:hAnsi="Times New Roman" w:hint="eastAsia"/>
          <w:bCs/>
          <w:szCs w:val="21"/>
        </w:rPr>
        <w:t>日）扣除销售服务费、</w:t>
      </w:r>
      <w:r>
        <w:rPr>
          <w:rFonts w:ascii="Times New Roman" w:hAnsi="Times New Roman" w:hint="eastAsia"/>
          <w:bCs/>
          <w:szCs w:val="21"/>
        </w:rPr>
        <w:t>固定管理费、托管费等相关税费后，单位净值为</w:t>
      </w:r>
      <w:r>
        <w:rPr>
          <w:rFonts w:ascii="Times New Roman" w:hAnsi="Times New Roman" w:hint="eastAsia"/>
          <w:bCs/>
          <w:szCs w:val="21"/>
        </w:rPr>
        <w:t>0.9950</w:t>
      </w:r>
      <w:r>
        <w:rPr>
          <w:rFonts w:ascii="Times New Roman" w:hAnsi="Times New Roman" w:hint="eastAsia"/>
          <w:bCs/>
          <w:szCs w:val="21"/>
        </w:rPr>
        <w:t>，投资者持有期内无分红，此时，投资者赎回金额为：</w:t>
      </w:r>
      <w:r>
        <w:rPr>
          <w:rFonts w:ascii="Times New Roman" w:hAnsi="Times New Roman" w:hint="eastAsia"/>
          <w:bCs/>
          <w:szCs w:val="21"/>
        </w:rPr>
        <w:t>100,000.00</w:t>
      </w:r>
      <w:r>
        <w:rPr>
          <w:rFonts w:ascii="Times New Roman" w:hAnsi="Times New Roman" w:hint="eastAsia"/>
          <w:bCs/>
          <w:szCs w:val="21"/>
        </w:rPr>
        <w:t>×</w:t>
      </w:r>
      <w:r>
        <w:rPr>
          <w:rFonts w:ascii="Times New Roman" w:hAnsi="Times New Roman" w:hint="eastAsia"/>
          <w:bCs/>
          <w:szCs w:val="21"/>
        </w:rPr>
        <w:t>0.9950=99,500.00</w:t>
      </w:r>
      <w:r>
        <w:rPr>
          <w:rFonts w:ascii="Times New Roman" w:hAnsi="Times New Roman" w:hint="eastAsia"/>
          <w:bCs/>
          <w:szCs w:val="21"/>
        </w:rPr>
        <w:t>元，投资者收益为：</w:t>
      </w:r>
      <w:r>
        <w:rPr>
          <w:rFonts w:ascii="Times New Roman" w:hAnsi="Times New Roman" w:hint="eastAsia"/>
          <w:bCs/>
          <w:szCs w:val="21"/>
        </w:rPr>
        <w:t>99,500.00-100,000.00=-500.00</w:t>
      </w:r>
      <w:r>
        <w:rPr>
          <w:rFonts w:ascii="Times New Roman" w:hAnsi="Times New Roman" w:hint="eastAsia"/>
          <w:bCs/>
          <w:szCs w:val="21"/>
        </w:rPr>
        <w:t>元。</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t>（上述示例采用假设数据计算，测算收益不等于实际收益，不代表以上的所有情形或某一情形一定会发生，投资者所能获得的收益以渝农商理财有限责任公司的实际支付为准。）</w:t>
      </w:r>
      <w:r>
        <w:rPr>
          <w:rFonts w:ascii="Times New Roman" w:hAnsi="Times New Roman" w:hint="eastAsia"/>
          <w:bCs/>
          <w:szCs w:val="21"/>
        </w:rPr>
        <w:t xml:space="preserve">  </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hint="eastAsia"/>
          <w:bCs/>
          <w:szCs w:val="21"/>
        </w:rPr>
        <w:lastRenderedPageBreak/>
        <w:t>（四）</w:t>
      </w:r>
      <w:bookmarkStart w:id="32" w:name="_Hlk116985701"/>
      <w:r>
        <w:rPr>
          <w:rFonts w:ascii="Times New Roman" w:hAnsi="Times New Roman" w:hint="eastAsia"/>
          <w:bCs/>
          <w:szCs w:val="21"/>
        </w:rPr>
        <w:t>产品到期日或提前终止日或申赎确认日至资金到账日期间投资者资金不计息</w:t>
      </w:r>
      <w:bookmarkEnd w:id="32"/>
      <w:r>
        <w:rPr>
          <w:rFonts w:ascii="Times New Roman" w:hAnsi="Times New Roman" w:hint="eastAsia"/>
          <w:bCs/>
          <w:szCs w:val="21"/>
        </w:rPr>
        <w:t>。</w:t>
      </w:r>
    </w:p>
    <w:p w:rsidR="000715C0" w:rsidRDefault="00CB504C">
      <w:pPr>
        <w:spacing w:line="276" w:lineRule="auto"/>
        <w:ind w:firstLineChars="200" w:firstLine="422"/>
        <w:outlineLvl w:val="0"/>
        <w:rPr>
          <w:rFonts w:ascii="Times New Roman" w:hAnsi="Times New Roman" w:cs="宋体"/>
          <w:b/>
          <w:szCs w:val="21"/>
        </w:rPr>
      </w:pPr>
      <w:r>
        <w:rPr>
          <w:rFonts w:ascii="Times New Roman" w:hAnsi="Times New Roman" w:cs="宋体" w:hint="eastAsia"/>
          <w:b/>
          <w:szCs w:val="21"/>
        </w:rPr>
        <w:t>六</w:t>
      </w:r>
      <w:r>
        <w:rPr>
          <w:rFonts w:ascii="Times New Roman" w:hAnsi="Times New Roman" w:cs="宋体"/>
          <w:b/>
          <w:szCs w:val="21"/>
        </w:rPr>
        <w:t>、</w:t>
      </w:r>
      <w:r>
        <w:rPr>
          <w:rFonts w:ascii="Times New Roman" w:hAnsi="Times New Roman" w:cs="宋体" w:hint="eastAsia"/>
          <w:b/>
          <w:szCs w:val="21"/>
        </w:rPr>
        <w:t>理财产品</w:t>
      </w:r>
      <w:r>
        <w:rPr>
          <w:rFonts w:ascii="Times New Roman" w:hAnsi="Times New Roman" w:cs="宋体"/>
          <w:b/>
          <w:szCs w:val="21"/>
        </w:rPr>
        <w:t>估值</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bookmarkStart w:id="33" w:name="_Hlk38476814"/>
      <w:r>
        <w:rPr>
          <w:rFonts w:ascii="Times New Roman" w:hAnsi="Times New Roman" w:hint="eastAsia"/>
          <w:bCs/>
          <w:szCs w:val="21"/>
        </w:rPr>
        <w:t>（一）估值原则</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本产</w:t>
      </w:r>
      <w:r>
        <w:rPr>
          <w:rFonts w:ascii="Times New Roman" w:hAnsi="Times New Roman" w:hint="eastAsia"/>
          <w:bCs/>
          <w:szCs w:val="21"/>
        </w:rPr>
        <w:t>品估值的目的是公允、合理地反映理财产品的价值，估值中坚持公允价值计量原则。</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（二）估值日</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估值日为自产品成立日起每个开放日及理财产品终止日（包含提前终止日）。</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（三）估值对象</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理财产品所持有的各类有价证券、银行存款、应收款项、其它投资等资产及负债。</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（四）估值方法</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、债券类资产</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原则上按照公允价值计量进行估值。其中，符合会计准则和相关监管政策规定的债券类资产可以使用摊余成本进行计量。</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公允价值的处理方法如下：</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）对在交易所市场实行净价交易的债券，采用第三方估值机构（中证指数有限公司）提供的估值价格。</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2</w:t>
      </w:r>
      <w:r>
        <w:rPr>
          <w:rFonts w:ascii="Times New Roman" w:hAnsi="Times New Roman" w:hint="eastAsia"/>
          <w:bCs/>
          <w:szCs w:val="21"/>
        </w:rPr>
        <w:t>）证券交易所市场未实行净价交易的债券按估值日收盘价或第三方估值机构（中证指数有限公司）提供的相应品种的估值全价减去债券收盘价或估值全价中所含的债券应收利息得到的净价进行估值；估值日没有交易的，且最近交易日后经济环境未发生重大变化，按最近交易日债券收盘价或第三方估值机构（中证指数有限公司）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对在交易所市场发</w:t>
      </w:r>
      <w:r>
        <w:rPr>
          <w:rFonts w:ascii="Times New Roman" w:hAnsi="Times New Roman" w:hint="eastAsia"/>
          <w:bCs/>
          <w:szCs w:val="21"/>
        </w:rPr>
        <w:t>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3</w:t>
      </w:r>
      <w:r>
        <w:rPr>
          <w:rFonts w:ascii="Times New Roman" w:hAnsi="Times New Roman" w:hint="eastAsia"/>
          <w:bCs/>
          <w:szCs w:val="21"/>
        </w:rPr>
        <w:t>）对银行间市场交易的债券，选取第三方估值机构（中央国债登记结算有限责任公司）提供的相应品种当日的估值净价估值。</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、银行存款（含证券交易保证金）及回购（包含正、逆回购）以买入成本列示，按商定利率在实际持有期间内逐日计提利息。</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、股票类资</w:t>
      </w:r>
      <w:r>
        <w:rPr>
          <w:rFonts w:ascii="Times New Roman" w:hAnsi="Times New Roman" w:hint="eastAsia"/>
          <w:bCs/>
          <w:szCs w:val="21"/>
        </w:rPr>
        <w:t>产</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在证券交易所上市流通的股票，估值日有交易的，按估值日收盘价估值；估值日无交易，且最近交易日后未发生影响公允价值计量的重大事件的，按最近交易日的收盘价估值。首次发行未上市的股票，在未上市期间按发行价格估值。送股、转增股、配股和公开增发新股等发行未上市且无明确限售期的股票，按估值日在证券交易所上市的同一股票的收盘价或最近交易日的收盘价确定公允价值。有明确限售期的股票，在限售期内，以证券交易所上市交易的同一股票的公允价值为基础，引入流动性折扣进行估值。</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lastRenderedPageBreak/>
        <w:t>4</w:t>
      </w:r>
      <w:r>
        <w:rPr>
          <w:rFonts w:ascii="Times New Roman" w:hAnsi="Times New Roman" w:hint="eastAsia"/>
          <w:bCs/>
          <w:szCs w:val="21"/>
        </w:rPr>
        <w:t>、投资于信托计划、资产管理计划等的资产</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按合同约定的估值方案，以信托计划的受托人、资产管理计划的管理人等和资产托管人共同确认的净值或投资收益情况进行估值。</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5</w:t>
      </w:r>
      <w:r>
        <w:rPr>
          <w:rFonts w:ascii="Times New Roman" w:hAnsi="Times New Roman" w:hint="eastAsia"/>
          <w:bCs/>
          <w:szCs w:val="21"/>
        </w:rPr>
        <w:t>、证券投资基金</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1</w:t>
      </w:r>
      <w:r>
        <w:rPr>
          <w:rFonts w:ascii="Times New Roman" w:hAnsi="Times New Roman" w:hint="eastAsia"/>
          <w:bCs/>
          <w:szCs w:val="21"/>
        </w:rPr>
        <w:t>）非上市基金估值</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理财产品投资的境内非货币市场基金，按所投资基金估值日的份额净值估值；理财产品投资的境内货币市场基金，按所投资基金前一估值日后至估值日期间（含节假日）的万份收益计提估值日基金收益。</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2</w:t>
      </w:r>
      <w:r>
        <w:rPr>
          <w:rFonts w:ascii="Times New Roman" w:hAnsi="Times New Roman" w:hint="eastAsia"/>
          <w:bCs/>
          <w:szCs w:val="21"/>
        </w:rPr>
        <w:t>）上市基金估值</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理财产品投资的</w:t>
      </w:r>
      <w:r>
        <w:rPr>
          <w:rFonts w:ascii="Times New Roman" w:hAnsi="Times New Roman" w:hint="eastAsia"/>
          <w:bCs/>
          <w:szCs w:val="21"/>
        </w:rPr>
        <w:t>ETF</w:t>
      </w:r>
      <w:r>
        <w:rPr>
          <w:rFonts w:ascii="Times New Roman" w:hAnsi="Times New Roman" w:hint="eastAsia"/>
          <w:bCs/>
          <w:szCs w:val="21"/>
        </w:rPr>
        <w:t>基金，按所投资</w:t>
      </w:r>
      <w:r>
        <w:rPr>
          <w:rFonts w:ascii="Times New Roman" w:hAnsi="Times New Roman" w:hint="eastAsia"/>
          <w:bCs/>
          <w:szCs w:val="21"/>
        </w:rPr>
        <w:t>ETF</w:t>
      </w:r>
      <w:r>
        <w:rPr>
          <w:rFonts w:ascii="Times New Roman" w:hAnsi="Times New Roman" w:hint="eastAsia"/>
          <w:bCs/>
          <w:szCs w:val="21"/>
        </w:rPr>
        <w:t>基金估值日的收盘价估值；理财产品投资的境内上市开放式基金（</w:t>
      </w:r>
      <w:r>
        <w:rPr>
          <w:rFonts w:ascii="Times New Roman" w:hAnsi="Times New Roman" w:hint="eastAsia"/>
          <w:bCs/>
          <w:szCs w:val="21"/>
        </w:rPr>
        <w:t>LOF</w:t>
      </w:r>
      <w:r>
        <w:rPr>
          <w:rFonts w:ascii="Times New Roman" w:hAnsi="Times New Roman" w:hint="eastAsia"/>
          <w:bCs/>
          <w:szCs w:val="21"/>
        </w:rPr>
        <w:t>），按所投资基金估值日的份额净值估值；理财产品投资的</w:t>
      </w:r>
      <w:r>
        <w:rPr>
          <w:rFonts w:ascii="Times New Roman" w:hAnsi="Times New Roman" w:hint="eastAsia"/>
          <w:bCs/>
          <w:szCs w:val="21"/>
        </w:rPr>
        <w:t>境内上市定期开放式基金、封闭式基金，按所投资基金估值日的收盘价估值；理财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3</w:t>
      </w:r>
      <w:r>
        <w:rPr>
          <w:rFonts w:ascii="Times New Roman" w:hAnsi="Times New Roman" w:hint="eastAsia"/>
          <w:bCs/>
          <w:szCs w:val="21"/>
        </w:rPr>
        <w:t>）特殊情况处理</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如遇所投资基金不公布基金份额净值、进行折算或拆分、估值日无交易等特殊情况，理财产品管理人根据以下原则进行估值：</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a</w:t>
      </w:r>
      <w:r>
        <w:rPr>
          <w:rFonts w:ascii="Times New Roman" w:hAnsi="Times New Roman" w:hint="eastAsia"/>
          <w:bCs/>
          <w:szCs w:val="21"/>
        </w:rPr>
        <w:t>）以所投资基金的基金份额净值估值的，若所投资基金与理财产品估值频率一致但未公布估</w:t>
      </w:r>
      <w:r>
        <w:rPr>
          <w:rFonts w:ascii="Times New Roman" w:hAnsi="Times New Roman" w:hint="eastAsia"/>
          <w:bCs/>
          <w:szCs w:val="21"/>
        </w:rPr>
        <w:t>值日基金份额净值，按其最近公布的基金份额净值为基础估值。</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b</w:t>
      </w:r>
      <w:r>
        <w:rPr>
          <w:rFonts w:ascii="Times New Roman" w:hAnsi="Times New Roman" w:hint="eastAsia"/>
          <w:bCs/>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c</w:t>
      </w:r>
      <w:r>
        <w:rPr>
          <w:rFonts w:ascii="Times New Roman" w:hAnsi="Times New Roman" w:hint="eastAsia"/>
          <w:bCs/>
          <w:szCs w:val="21"/>
        </w:rPr>
        <w:t>）如果所投资基金前一估值日至估值日期间发生分红除权、折算或拆分，理财产品管理人应根据基金份额净值或收盘价、单位基金份额分红金额、折算拆分比例、持仓份额等因素合理确定公允价值。</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w:t>
      </w:r>
      <w:r>
        <w:rPr>
          <w:rFonts w:ascii="Times New Roman" w:hAnsi="Times New Roman" w:hint="eastAsia"/>
          <w:bCs/>
          <w:szCs w:val="21"/>
        </w:rPr>
        <w:t>d</w:t>
      </w:r>
      <w:r>
        <w:rPr>
          <w:rFonts w:ascii="Times New Roman" w:hAnsi="Times New Roman" w:hint="eastAsia"/>
          <w:bCs/>
          <w:szCs w:val="21"/>
        </w:rPr>
        <w:t>）当理财产</w:t>
      </w:r>
      <w:r>
        <w:rPr>
          <w:rFonts w:ascii="Times New Roman" w:hAnsi="Times New Roman" w:hint="eastAsia"/>
          <w:bCs/>
          <w:szCs w:val="21"/>
        </w:rPr>
        <w:t>品管理人认为所投资基金按上述（</w:t>
      </w:r>
      <w:r>
        <w:rPr>
          <w:rFonts w:ascii="Times New Roman" w:hAnsi="Times New Roman" w:hint="eastAsia"/>
          <w:bCs/>
          <w:szCs w:val="21"/>
        </w:rPr>
        <w:t>a</w:t>
      </w:r>
      <w:r>
        <w:rPr>
          <w:rFonts w:ascii="Times New Roman" w:hAnsi="Times New Roman" w:hint="eastAsia"/>
          <w:bCs/>
          <w:szCs w:val="21"/>
        </w:rPr>
        <w:t>）（</w:t>
      </w:r>
      <w:r>
        <w:rPr>
          <w:rFonts w:ascii="Times New Roman" w:hAnsi="Times New Roman" w:hint="eastAsia"/>
          <w:bCs/>
          <w:szCs w:val="21"/>
        </w:rPr>
        <w:t>b</w:t>
      </w:r>
      <w:r>
        <w:rPr>
          <w:rFonts w:ascii="Times New Roman" w:hAnsi="Times New Roman" w:hint="eastAsia"/>
          <w:bCs/>
          <w:szCs w:val="21"/>
        </w:rPr>
        <w:t>）（</w:t>
      </w:r>
      <w:r>
        <w:rPr>
          <w:rFonts w:ascii="Times New Roman" w:hAnsi="Times New Roman" w:hint="eastAsia"/>
          <w:bCs/>
          <w:szCs w:val="21"/>
        </w:rPr>
        <w:t>c</w:t>
      </w:r>
      <w:r>
        <w:rPr>
          <w:rFonts w:ascii="Times New Roman" w:hAnsi="Times New Roman" w:hint="eastAsia"/>
          <w:bCs/>
          <w:szCs w:val="21"/>
        </w:rPr>
        <w:t>）进行估值存在不公允时，在法律法规允许的范围内，应与托管人协商一致采用合理的估值技术或估值标准确定其公允价值。</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6</w:t>
      </w:r>
      <w:r>
        <w:rPr>
          <w:rFonts w:ascii="Times New Roman" w:hAnsi="Times New Roman" w:hint="eastAsia"/>
          <w:bCs/>
          <w:szCs w:val="21"/>
        </w:rPr>
        <w:t>、若理财产品存续期间持有其他投资品种，以理财产品管理人和理财产品托管人共同认可的方法计算其价值。</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7</w:t>
      </w:r>
      <w:r>
        <w:rPr>
          <w:rFonts w:ascii="Times New Roman" w:hAnsi="Times New Roman" w:hint="eastAsia"/>
          <w:bCs/>
          <w:szCs w:val="21"/>
        </w:rPr>
        <w:t>、国家有最新规定的，按其规定进行估值。</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8</w:t>
      </w:r>
      <w:r>
        <w:rPr>
          <w:rFonts w:ascii="Times New Roman" w:hAnsi="Times New Roman" w:hint="eastAsia"/>
          <w:bCs/>
          <w:szCs w:val="21"/>
        </w:rPr>
        <w:t>、在任何情况下，如采用以上规定的方法对资产进行估值，均应被认为采用了适当的估值方法。该产品估值均以产品公布的估值结果为准。但是，如果理财产品管理人或理财产品托管人认为按以上规定的方法对理财产品资产进行估值不能客观</w:t>
      </w:r>
      <w:r>
        <w:rPr>
          <w:rFonts w:ascii="Times New Roman" w:hAnsi="Times New Roman" w:hint="eastAsia"/>
          <w:bCs/>
          <w:szCs w:val="21"/>
        </w:rPr>
        <w:t>反映其公允价值的，可提出动议，协商一致后，变更公允价值的确定方式，并从经理财产品管理人与托管人协商一致日起执行。</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lastRenderedPageBreak/>
        <w:t>（五）估值错误的处理</w:t>
      </w:r>
    </w:p>
    <w:p w:rsidR="000715C0" w:rsidRDefault="00CB504C">
      <w:pPr>
        <w:pStyle w:val="aa"/>
        <w:spacing w:before="0" w:beforeAutospacing="0" w:after="0" w:afterAutospacing="0" w:line="276" w:lineRule="auto"/>
        <w:ind w:firstLineChars="200" w:firstLine="420"/>
        <w:rPr>
          <w:rFonts w:ascii="Times New Roman" w:hAnsi="Times New Roman" w:cs="Times New Roman"/>
          <w:bCs/>
          <w:kern w:val="2"/>
          <w:sz w:val="21"/>
          <w:szCs w:val="21"/>
        </w:rPr>
      </w:pPr>
      <w:r>
        <w:rPr>
          <w:rFonts w:ascii="Times New Roman" w:hAnsi="Times New Roman" w:cs="Times New Roman" w:hint="eastAsia"/>
          <w:bCs/>
          <w:kern w:val="2"/>
          <w:sz w:val="21"/>
          <w:szCs w:val="21"/>
        </w:rPr>
        <w:t>理财产品管理人和理财产品托管人将采取必要、适当、合理的措施确保理财产品估值的准确性、及时性。当理财产品单位净值小数点后</w:t>
      </w:r>
      <w:r>
        <w:rPr>
          <w:rFonts w:ascii="Times New Roman" w:hAnsi="Times New Roman" w:cs="Times New Roman" w:hint="eastAsia"/>
          <w:bCs/>
          <w:kern w:val="2"/>
          <w:sz w:val="21"/>
          <w:szCs w:val="21"/>
        </w:rPr>
        <w:t>4</w:t>
      </w:r>
      <w:r>
        <w:rPr>
          <w:rFonts w:ascii="Times New Roman" w:hAnsi="Times New Roman" w:cs="Times New Roman" w:hint="eastAsia"/>
          <w:bCs/>
          <w:kern w:val="2"/>
          <w:sz w:val="21"/>
          <w:szCs w:val="21"/>
        </w:rPr>
        <w:t>位以内（含第</w:t>
      </w:r>
      <w:r>
        <w:rPr>
          <w:rFonts w:ascii="Times New Roman" w:hAnsi="Times New Roman" w:cs="Times New Roman" w:hint="eastAsia"/>
          <w:bCs/>
          <w:kern w:val="2"/>
          <w:sz w:val="21"/>
          <w:szCs w:val="21"/>
        </w:rPr>
        <w:t>4</w:t>
      </w:r>
      <w:r>
        <w:rPr>
          <w:rFonts w:ascii="Times New Roman" w:hAnsi="Times New Roman" w:cs="Times New Roman" w:hint="eastAsia"/>
          <w:bCs/>
          <w:kern w:val="2"/>
          <w:sz w:val="21"/>
          <w:szCs w:val="21"/>
        </w:rPr>
        <w:t>位）发生估值错误时，视为理财产品单位净值错误。</w:t>
      </w:r>
    </w:p>
    <w:p w:rsidR="000715C0" w:rsidRDefault="00CB504C">
      <w:pPr>
        <w:pStyle w:val="aa"/>
        <w:spacing w:before="0" w:beforeAutospacing="0" w:after="0" w:afterAutospacing="0" w:line="276" w:lineRule="auto"/>
        <w:ind w:firstLine="420"/>
        <w:rPr>
          <w:rFonts w:ascii="Times New Roman" w:hAnsi="Times New Roman" w:cs="Times New Roman"/>
          <w:bCs/>
          <w:kern w:val="2"/>
          <w:sz w:val="21"/>
          <w:szCs w:val="21"/>
        </w:rPr>
      </w:pPr>
      <w:r>
        <w:rPr>
          <w:rFonts w:ascii="Times New Roman" w:hAnsi="Times New Roman" w:cs="Times New Roman"/>
          <w:bCs/>
          <w:kern w:val="2"/>
          <w:sz w:val="21"/>
          <w:szCs w:val="21"/>
        </w:rPr>
        <w:t>1</w:t>
      </w:r>
      <w:r>
        <w:rPr>
          <w:rFonts w:ascii="Times New Roman" w:hAnsi="Times New Roman" w:cs="Times New Roman" w:hint="eastAsia"/>
          <w:bCs/>
          <w:kern w:val="2"/>
          <w:sz w:val="21"/>
          <w:szCs w:val="21"/>
        </w:rPr>
        <w:t>、估值错误处理原则</w:t>
      </w:r>
    </w:p>
    <w:p w:rsidR="000715C0" w:rsidRDefault="00CB504C">
      <w:pPr>
        <w:pStyle w:val="aa"/>
        <w:spacing w:before="0" w:beforeAutospacing="0" w:after="0" w:afterAutospacing="0" w:line="276" w:lineRule="auto"/>
        <w:ind w:firstLine="424"/>
        <w:rPr>
          <w:rFonts w:ascii="Times New Roman" w:hAnsi="Times New Roman" w:cs="Times New Roman"/>
          <w:bCs/>
          <w:kern w:val="2"/>
          <w:sz w:val="21"/>
          <w:szCs w:val="21"/>
        </w:rPr>
      </w:pPr>
      <w:r>
        <w:rPr>
          <w:rFonts w:ascii="Times New Roman" w:hAnsi="Times New Roman" w:cs="Times New Roman"/>
          <w:bCs/>
          <w:kern w:val="2"/>
          <w:sz w:val="21"/>
          <w:szCs w:val="21"/>
        </w:rPr>
        <w:t>（</w:t>
      </w:r>
      <w:r>
        <w:rPr>
          <w:rFonts w:ascii="Times New Roman" w:hAnsi="Times New Roman" w:cs="Times New Roman"/>
          <w:bCs/>
          <w:kern w:val="2"/>
          <w:sz w:val="21"/>
          <w:szCs w:val="21"/>
        </w:rPr>
        <w:t>1</w:t>
      </w:r>
      <w:r>
        <w:rPr>
          <w:rFonts w:ascii="Times New Roman" w:hAnsi="Times New Roman" w:cs="Times New Roman"/>
          <w:bCs/>
          <w:kern w:val="2"/>
          <w:sz w:val="21"/>
          <w:szCs w:val="21"/>
        </w:rPr>
        <w:t>）由于理财</w:t>
      </w:r>
      <w:r>
        <w:rPr>
          <w:rFonts w:ascii="Times New Roman" w:hAnsi="Times New Roman" w:cs="Times New Roman" w:hint="eastAsia"/>
          <w:bCs/>
          <w:kern w:val="2"/>
          <w:sz w:val="21"/>
          <w:szCs w:val="21"/>
        </w:rPr>
        <w:t>产品</w:t>
      </w:r>
      <w:r>
        <w:rPr>
          <w:rFonts w:ascii="Times New Roman" w:hAnsi="Times New Roman" w:cs="Times New Roman"/>
          <w:bCs/>
          <w:kern w:val="2"/>
          <w:sz w:val="21"/>
          <w:szCs w:val="21"/>
        </w:rPr>
        <w:t>管理人或理财</w:t>
      </w:r>
      <w:r>
        <w:rPr>
          <w:rFonts w:ascii="Times New Roman" w:hAnsi="Times New Roman" w:cs="Times New Roman" w:hint="eastAsia"/>
          <w:bCs/>
          <w:kern w:val="2"/>
          <w:sz w:val="21"/>
          <w:szCs w:val="21"/>
        </w:rPr>
        <w:t>产品</w:t>
      </w:r>
      <w:r>
        <w:rPr>
          <w:rFonts w:ascii="Times New Roman" w:hAnsi="Times New Roman" w:cs="Times New Roman"/>
          <w:bCs/>
          <w:kern w:val="2"/>
          <w:sz w:val="21"/>
          <w:szCs w:val="21"/>
        </w:rPr>
        <w:t>托管人自身的过错造成估值错误，导致投资者遭受损失的，由估值错误责任方按照各自过错程度对该估值错误导致投资者遭受的直接损失给予赔偿，承担赔偿责任。</w:t>
      </w:r>
    </w:p>
    <w:p w:rsidR="000715C0" w:rsidRDefault="00CB504C">
      <w:pPr>
        <w:pStyle w:val="aa"/>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hint="eastAsia"/>
          <w:bCs/>
          <w:kern w:val="2"/>
          <w:sz w:val="21"/>
          <w:szCs w:val="21"/>
        </w:rPr>
        <w:t>（</w:t>
      </w:r>
      <w:r>
        <w:rPr>
          <w:rFonts w:ascii="Times New Roman" w:hAnsi="Times New Roman" w:cs="Times New Roman" w:hint="eastAsia"/>
          <w:bCs/>
          <w:kern w:val="2"/>
          <w:sz w:val="21"/>
          <w:szCs w:val="21"/>
        </w:rPr>
        <w:t>2</w:t>
      </w:r>
      <w:r>
        <w:rPr>
          <w:rFonts w:ascii="Times New Roman" w:hAnsi="Times New Roman" w:cs="Times New Roman" w:hint="eastAsia"/>
          <w:bCs/>
          <w:kern w:val="2"/>
          <w:sz w:val="21"/>
          <w:szCs w:val="21"/>
        </w:rPr>
        <w:t>）对于因技术原因引起的差错，若系同行业现有技术水平无法预见、无法避免、无法抗拒，属不可抗力。</w:t>
      </w:r>
      <w:r>
        <w:rPr>
          <w:rFonts w:ascii="Times New Roman" w:hAnsi="Times New Roman" w:cs="Times New Roman" w:hint="eastAsia"/>
          <w:b/>
          <w:kern w:val="2"/>
          <w:sz w:val="21"/>
          <w:szCs w:val="21"/>
        </w:rPr>
        <w:t>因不可抗力原因出现差错的当事人不对投资者承担赔偿责任，但因该差错取得不当得利的投资者仍应负有返还不当得利的义务。</w:t>
      </w:r>
    </w:p>
    <w:p w:rsidR="000715C0" w:rsidRDefault="00CB504C">
      <w:pPr>
        <w:pStyle w:val="aa"/>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hint="eastAsia"/>
          <w:bCs/>
          <w:kern w:val="2"/>
          <w:sz w:val="21"/>
          <w:szCs w:val="21"/>
        </w:rPr>
        <w:t>（</w:t>
      </w:r>
      <w:r>
        <w:rPr>
          <w:rFonts w:ascii="Times New Roman" w:hAnsi="Times New Roman" w:cs="Times New Roman" w:hint="eastAsia"/>
          <w:bCs/>
          <w:kern w:val="2"/>
          <w:sz w:val="21"/>
          <w:szCs w:val="21"/>
        </w:rPr>
        <w:t>3</w:t>
      </w:r>
      <w:r>
        <w:rPr>
          <w:rFonts w:ascii="Times New Roman" w:hAnsi="Times New Roman" w:cs="Times New Roman" w:hint="eastAsia"/>
          <w:bCs/>
          <w:kern w:val="2"/>
          <w:sz w:val="21"/>
          <w:szCs w:val="21"/>
        </w:rPr>
        <w:t>）因理财产品托管人估值错误造成财产损失时，理财产品管理人应向托管人追偿。若理财产品管理人和理财产品托管人之外的第三方估值差错造成财产的损失，并拒绝进行赔</w:t>
      </w:r>
      <w:r>
        <w:rPr>
          <w:rFonts w:ascii="Times New Roman" w:hAnsi="Times New Roman" w:cs="Times New Roman" w:hint="eastAsia"/>
          <w:bCs/>
          <w:kern w:val="2"/>
          <w:sz w:val="21"/>
          <w:szCs w:val="21"/>
        </w:rPr>
        <w:t>偿时，理财产品由理财产品管理人负责向差错方追偿；追偿过程中产生的有关费用，应列入理财产品费用，由理财产品承担。</w:t>
      </w:r>
    </w:p>
    <w:p w:rsidR="000715C0" w:rsidRDefault="00CB504C">
      <w:pPr>
        <w:pStyle w:val="aa"/>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hint="eastAsia"/>
          <w:bCs/>
          <w:kern w:val="2"/>
          <w:sz w:val="21"/>
          <w:szCs w:val="21"/>
        </w:rPr>
        <w:t>（</w:t>
      </w:r>
      <w:r>
        <w:rPr>
          <w:rFonts w:ascii="Times New Roman" w:hAnsi="Times New Roman" w:cs="Times New Roman" w:hint="eastAsia"/>
          <w:bCs/>
          <w:kern w:val="2"/>
          <w:sz w:val="21"/>
          <w:szCs w:val="21"/>
        </w:rPr>
        <w:t>4</w:t>
      </w:r>
      <w:r>
        <w:rPr>
          <w:rFonts w:ascii="Times New Roman" w:hAnsi="Times New Roman" w:cs="Times New Roman" w:hint="eastAsia"/>
          <w:bCs/>
          <w:kern w:val="2"/>
          <w:sz w:val="21"/>
          <w:szCs w:val="21"/>
        </w:rPr>
        <w:t>）当估值出现错误时，因估值错误而获得不当得利的投资者负有及时返还不当得利的义务。</w:t>
      </w:r>
    </w:p>
    <w:p w:rsidR="000715C0" w:rsidRDefault="00CB504C">
      <w:pPr>
        <w:pStyle w:val="aa"/>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hint="eastAsia"/>
          <w:bCs/>
          <w:kern w:val="2"/>
          <w:sz w:val="21"/>
          <w:szCs w:val="21"/>
        </w:rPr>
        <w:t>（</w:t>
      </w:r>
      <w:r>
        <w:rPr>
          <w:rFonts w:ascii="Times New Roman" w:hAnsi="Times New Roman" w:cs="Times New Roman" w:hint="eastAsia"/>
          <w:bCs/>
          <w:kern w:val="2"/>
          <w:sz w:val="21"/>
          <w:szCs w:val="21"/>
        </w:rPr>
        <w:t>5</w:t>
      </w:r>
      <w:r>
        <w:rPr>
          <w:rFonts w:ascii="Times New Roman" w:hAnsi="Times New Roman" w:cs="Times New Roman" w:hint="eastAsia"/>
          <w:bCs/>
          <w:kern w:val="2"/>
          <w:sz w:val="21"/>
          <w:szCs w:val="21"/>
        </w:rPr>
        <w:t>）按法律法规规定的其他原则处理估值错误。</w:t>
      </w:r>
    </w:p>
    <w:p w:rsidR="000715C0" w:rsidRDefault="00CB504C">
      <w:pPr>
        <w:pStyle w:val="aa"/>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hint="eastAsia"/>
          <w:bCs/>
          <w:kern w:val="2"/>
          <w:sz w:val="21"/>
          <w:szCs w:val="21"/>
        </w:rPr>
        <w:t xml:space="preserve"> </w:t>
      </w:r>
      <w:r>
        <w:rPr>
          <w:rFonts w:ascii="Times New Roman" w:hAnsi="Times New Roman" w:cs="Times New Roman"/>
          <w:bCs/>
          <w:kern w:val="2"/>
          <w:sz w:val="21"/>
          <w:szCs w:val="21"/>
        </w:rPr>
        <w:t>2</w:t>
      </w:r>
      <w:r>
        <w:rPr>
          <w:rFonts w:ascii="Times New Roman" w:hAnsi="Times New Roman" w:cs="Times New Roman" w:hint="eastAsia"/>
          <w:bCs/>
          <w:kern w:val="2"/>
          <w:sz w:val="21"/>
          <w:szCs w:val="21"/>
        </w:rPr>
        <w:t>、估值错误处理程序</w:t>
      </w:r>
    </w:p>
    <w:p w:rsidR="000715C0" w:rsidRDefault="00CB504C">
      <w:pPr>
        <w:pStyle w:val="aa"/>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hint="eastAsia"/>
          <w:bCs/>
          <w:kern w:val="2"/>
          <w:sz w:val="21"/>
          <w:szCs w:val="21"/>
        </w:rPr>
        <w:t>估值错误被发现后，理财产品管理人和理财产品托管人应当及时进行处理，处理的程序如下：</w:t>
      </w:r>
    </w:p>
    <w:p w:rsidR="000715C0" w:rsidRDefault="00CB504C">
      <w:pPr>
        <w:pStyle w:val="aa"/>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hint="eastAsia"/>
          <w:bCs/>
          <w:kern w:val="2"/>
          <w:sz w:val="21"/>
          <w:szCs w:val="21"/>
        </w:rPr>
        <w:t>（</w:t>
      </w:r>
      <w:r>
        <w:rPr>
          <w:rFonts w:ascii="Times New Roman" w:hAnsi="Times New Roman" w:cs="Times New Roman" w:hint="eastAsia"/>
          <w:bCs/>
          <w:kern w:val="2"/>
          <w:sz w:val="21"/>
          <w:szCs w:val="21"/>
        </w:rPr>
        <w:t>1</w:t>
      </w:r>
      <w:r>
        <w:rPr>
          <w:rFonts w:ascii="Times New Roman" w:hAnsi="Times New Roman" w:cs="Times New Roman" w:hint="eastAsia"/>
          <w:bCs/>
          <w:kern w:val="2"/>
          <w:sz w:val="21"/>
          <w:szCs w:val="21"/>
        </w:rPr>
        <w:t>）查明估值错误发生的原因，列明所有的管理人和托管人并根据估值错误发生的原因确定估值错误的责任方；</w:t>
      </w:r>
    </w:p>
    <w:p w:rsidR="000715C0" w:rsidRDefault="00CB504C">
      <w:pPr>
        <w:pStyle w:val="aa"/>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hint="eastAsia"/>
          <w:bCs/>
          <w:kern w:val="2"/>
          <w:sz w:val="21"/>
          <w:szCs w:val="21"/>
        </w:rPr>
        <w:t>（</w:t>
      </w:r>
      <w:r>
        <w:rPr>
          <w:rFonts w:ascii="Times New Roman" w:hAnsi="Times New Roman" w:cs="Times New Roman" w:hint="eastAsia"/>
          <w:bCs/>
          <w:kern w:val="2"/>
          <w:sz w:val="21"/>
          <w:szCs w:val="21"/>
        </w:rPr>
        <w:t>2</w:t>
      </w:r>
      <w:r>
        <w:rPr>
          <w:rFonts w:ascii="Times New Roman" w:hAnsi="Times New Roman" w:cs="Times New Roman" w:hint="eastAsia"/>
          <w:bCs/>
          <w:kern w:val="2"/>
          <w:sz w:val="21"/>
          <w:szCs w:val="21"/>
        </w:rPr>
        <w:t>）根据估值错误处理原则对因估值错误造成的损失进行评估；</w:t>
      </w:r>
    </w:p>
    <w:p w:rsidR="000715C0" w:rsidRDefault="00CB504C">
      <w:pPr>
        <w:pStyle w:val="aa"/>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hint="eastAsia"/>
          <w:bCs/>
          <w:kern w:val="2"/>
          <w:sz w:val="21"/>
          <w:szCs w:val="21"/>
        </w:rPr>
        <w:t>（</w:t>
      </w:r>
      <w:r>
        <w:rPr>
          <w:rFonts w:ascii="Times New Roman" w:hAnsi="Times New Roman" w:cs="Times New Roman" w:hint="eastAsia"/>
          <w:bCs/>
          <w:kern w:val="2"/>
          <w:sz w:val="21"/>
          <w:szCs w:val="21"/>
        </w:rPr>
        <w:t>3</w:t>
      </w:r>
      <w:r>
        <w:rPr>
          <w:rFonts w:ascii="Times New Roman" w:hAnsi="Times New Roman" w:cs="Times New Roman" w:hint="eastAsia"/>
          <w:bCs/>
          <w:kern w:val="2"/>
          <w:sz w:val="21"/>
          <w:szCs w:val="21"/>
        </w:rPr>
        <w:t>）根据理财产品管理人和理财产品托管人协商的方法，由理财产品管理人和理财产品托管人共同进行更正，由估值错误的责任方进行赔偿损失。</w:t>
      </w:r>
    </w:p>
    <w:p w:rsidR="000715C0" w:rsidRDefault="00CB504C">
      <w:pPr>
        <w:autoSpaceDE w:val="0"/>
        <w:autoSpaceDN w:val="0"/>
        <w:adjustRightInd w:val="0"/>
        <w:spacing w:line="276" w:lineRule="auto"/>
        <w:ind w:firstLineChars="200" w:firstLine="420"/>
        <w:jc w:val="left"/>
        <w:outlineLvl w:val="0"/>
        <w:rPr>
          <w:rFonts w:ascii="Times New Roman" w:hAnsi="Times New Roman"/>
          <w:bCs/>
          <w:szCs w:val="21"/>
        </w:rPr>
      </w:pPr>
      <w:r>
        <w:rPr>
          <w:rFonts w:ascii="Times New Roman" w:hAnsi="Times New Roman" w:hint="eastAsia"/>
          <w:bCs/>
          <w:szCs w:val="21"/>
        </w:rPr>
        <w:t>（六）暂停估值</w:t>
      </w:r>
    </w:p>
    <w:p w:rsidR="000715C0" w:rsidRDefault="00CB504C">
      <w:pPr>
        <w:pStyle w:val="aa"/>
        <w:spacing w:before="0" w:beforeAutospacing="0" w:after="0" w:afterAutospacing="0" w:line="276" w:lineRule="auto"/>
        <w:ind w:firstLineChars="200" w:firstLine="422"/>
        <w:rPr>
          <w:rFonts w:ascii="Times New Roman" w:hAnsi="Times New Roman" w:cs="Times New Roman"/>
          <w:b/>
          <w:kern w:val="2"/>
          <w:sz w:val="21"/>
          <w:szCs w:val="21"/>
        </w:rPr>
      </w:pPr>
      <w:r>
        <w:rPr>
          <w:rFonts w:ascii="Times New Roman" w:hAnsi="Times New Roman" w:cs="Times New Roman"/>
          <w:b/>
          <w:kern w:val="2"/>
          <w:sz w:val="21"/>
          <w:szCs w:val="21"/>
        </w:rPr>
        <w:t>1</w:t>
      </w:r>
      <w:r>
        <w:rPr>
          <w:rFonts w:ascii="Times New Roman" w:hAnsi="Times New Roman" w:cs="Times New Roman" w:hint="eastAsia"/>
          <w:b/>
          <w:kern w:val="2"/>
          <w:sz w:val="21"/>
          <w:szCs w:val="21"/>
        </w:rPr>
        <w:t>、当产品资产的估值因不可抗力或其它情形致使产品管理人、托管人无法准确评估产品资产价值时或监管机构认定的其它情形，产品管理人可暂停产品的估值直至另行通知。</w:t>
      </w:r>
    </w:p>
    <w:p w:rsidR="000715C0" w:rsidRDefault="00CB504C">
      <w:pPr>
        <w:pStyle w:val="aa"/>
        <w:spacing w:before="0" w:beforeAutospacing="0" w:after="0" w:afterAutospacing="0" w:line="276" w:lineRule="auto"/>
        <w:ind w:firstLine="404"/>
        <w:rPr>
          <w:rFonts w:ascii="Times New Roman" w:hAnsi="Times New Roman" w:cs="Times New Roman"/>
          <w:bCs/>
          <w:kern w:val="2"/>
          <w:sz w:val="21"/>
          <w:szCs w:val="21"/>
        </w:rPr>
      </w:pPr>
      <w:r>
        <w:rPr>
          <w:rFonts w:ascii="Times New Roman" w:hAnsi="Times New Roman" w:cs="Times New Roman"/>
          <w:bCs/>
          <w:kern w:val="2"/>
          <w:sz w:val="21"/>
          <w:szCs w:val="21"/>
        </w:rPr>
        <w:t>2</w:t>
      </w:r>
      <w:r>
        <w:rPr>
          <w:rFonts w:ascii="Times New Roman" w:hAnsi="Times New Roman" w:cs="Times New Roman" w:hint="eastAsia"/>
          <w:bCs/>
          <w:kern w:val="2"/>
          <w:sz w:val="21"/>
          <w:szCs w:val="21"/>
        </w:rPr>
        <w:t>、当前一估值日产品资产净值</w:t>
      </w:r>
      <w:r>
        <w:rPr>
          <w:rFonts w:ascii="Times New Roman" w:hAnsi="Times New Roman" w:cs="Times New Roman"/>
          <w:bCs/>
          <w:kern w:val="2"/>
          <w:sz w:val="21"/>
          <w:szCs w:val="21"/>
        </w:rPr>
        <w:t>50%</w:t>
      </w:r>
      <w:r>
        <w:rPr>
          <w:rFonts w:ascii="Times New Roman" w:hAnsi="Times New Roman" w:cs="Times New Roman" w:hint="eastAsia"/>
          <w:bCs/>
          <w:kern w:val="2"/>
          <w:sz w:val="21"/>
          <w:szCs w:val="21"/>
        </w:rPr>
        <w:t>以上的资产不具备活跃交易市场或者在活跃市场中无报价，且不能采用估值技术可靠计量公允价值时，产品管理人将暂停该产品的估值，并按照监管规定采取相应措施。</w:t>
      </w:r>
    </w:p>
    <w:bookmarkEnd w:id="33"/>
    <w:p w:rsidR="000715C0" w:rsidRDefault="00CB504C">
      <w:pPr>
        <w:spacing w:line="276" w:lineRule="auto"/>
        <w:ind w:firstLineChars="200" w:firstLine="422"/>
        <w:outlineLvl w:val="0"/>
        <w:rPr>
          <w:rFonts w:ascii="Times New Roman" w:hAnsi="Times New Roman"/>
          <w:b/>
          <w:bCs/>
          <w:szCs w:val="21"/>
        </w:rPr>
      </w:pPr>
      <w:r>
        <w:rPr>
          <w:rFonts w:ascii="Times New Roman" w:hAnsi="Times New Roman" w:hint="eastAsia"/>
          <w:b/>
          <w:bCs/>
          <w:szCs w:val="21"/>
        </w:rPr>
        <w:t>七、信息披露</w:t>
      </w:r>
    </w:p>
    <w:p w:rsidR="000715C0" w:rsidRDefault="00CB504C">
      <w:pPr>
        <w:spacing w:line="276" w:lineRule="auto"/>
        <w:ind w:firstLineChars="200" w:firstLine="420"/>
        <w:jc w:val="left"/>
        <w:rPr>
          <w:rFonts w:ascii="Times New Roman" w:hAnsi="Times New Roman"/>
          <w:bCs/>
          <w:szCs w:val="21"/>
        </w:rPr>
      </w:pPr>
      <w:r>
        <w:rPr>
          <w:rFonts w:ascii="Times New Roman" w:hAnsi="Times New Roman" w:hint="eastAsia"/>
          <w:bCs/>
          <w:szCs w:val="21"/>
        </w:rPr>
        <w:t>（一）信息披露渠道</w:t>
      </w:r>
    </w:p>
    <w:p w:rsidR="000715C0" w:rsidRDefault="00CB504C">
      <w:pPr>
        <w:spacing w:line="276" w:lineRule="auto"/>
        <w:ind w:firstLineChars="150" w:firstLine="316"/>
        <w:jc w:val="left"/>
        <w:rPr>
          <w:rFonts w:ascii="Times New Roman" w:hAnsi="Times New Roman"/>
          <w:b/>
          <w:bCs/>
          <w:szCs w:val="21"/>
        </w:rPr>
      </w:pPr>
      <w:r>
        <w:rPr>
          <w:rFonts w:ascii="Times New Roman" w:hAnsi="Times New Roman" w:hint="eastAsia"/>
          <w:b/>
          <w:bCs/>
          <w:szCs w:val="21"/>
        </w:rPr>
        <w:t>本理财产品的公开信息披露将通过</w:t>
      </w:r>
      <w:hyperlink w:history="1"/>
      <w:r>
        <w:rPr>
          <w:rFonts w:ascii="Times New Roman" w:hAnsi="Times New Roman" w:hint="eastAsia"/>
          <w:b/>
          <w:bCs/>
          <w:szCs w:val="21"/>
        </w:rPr>
        <w:t>渝农商理财有限责任公司网站（</w:t>
      </w:r>
      <w:r>
        <w:rPr>
          <w:rFonts w:ascii="Times New Roman" w:hAnsi="Times New Roman"/>
          <w:b/>
          <w:bCs/>
          <w:szCs w:val="21"/>
        </w:rPr>
        <w:t>wm.cqrcb.com</w:t>
      </w:r>
      <w:r>
        <w:rPr>
          <w:rFonts w:ascii="Times New Roman" w:hAnsi="Times New Roman" w:hint="eastAsia"/>
          <w:b/>
          <w:bCs/>
          <w:szCs w:val="21"/>
        </w:rPr>
        <w:t>）、渝农商理财</w:t>
      </w:r>
      <w:r>
        <w:rPr>
          <w:rFonts w:ascii="Times New Roman" w:hAnsi="Times New Roman" w:hint="eastAsia"/>
          <w:b/>
          <w:bCs/>
          <w:szCs w:val="21"/>
          <w:shd w:val="clear" w:color="auto" w:fill="DAEEF3" w:themeFill="accent5" w:themeFillTint="33"/>
        </w:rPr>
        <w:t>电子直销平台</w:t>
      </w:r>
      <w:r>
        <w:rPr>
          <w:rFonts w:ascii="Times New Roman" w:hAnsi="Times New Roman" w:hint="eastAsia"/>
          <w:b/>
          <w:bCs/>
          <w:szCs w:val="21"/>
        </w:rPr>
        <w:t>、代理销售机构相关渠道（包括但不限于代理销售机构的网站等）进行。该等披露视为渝农商理财有限责任公司已向投资者完全履行信息披露义务。投</w:t>
      </w:r>
      <w:r>
        <w:rPr>
          <w:rFonts w:ascii="Times New Roman" w:hAnsi="Times New Roman" w:hint="eastAsia"/>
          <w:b/>
          <w:bCs/>
          <w:szCs w:val="21"/>
        </w:rPr>
        <w:lastRenderedPageBreak/>
        <w:t>资者应充分关注并及时主动查询渝农商理财有限责任公司披露的本产品相关信息。</w:t>
      </w:r>
      <w:r>
        <w:rPr>
          <w:rFonts w:ascii="Times New Roman" w:hAnsi="Times New Roman" w:hint="eastAsia"/>
          <w:szCs w:val="21"/>
        </w:rPr>
        <w:t>投资者预留的有效联系方式发生变更的，亦应及时通知销售（代理销售）机构。如果投资者未及时查询相关信息，或预留联系方式变更未及时通知销售（代理销售）机构，</w:t>
      </w:r>
      <w:r>
        <w:rPr>
          <w:rFonts w:ascii="Times New Roman" w:hAnsi="Times New Roman" w:hint="eastAsia"/>
          <w:b/>
          <w:bCs/>
          <w:szCs w:val="21"/>
        </w:rPr>
        <w:t>或由</w:t>
      </w:r>
      <w:r>
        <w:rPr>
          <w:rFonts w:ascii="Times New Roman" w:hAnsi="Times New Roman" w:hint="eastAsia"/>
          <w:b/>
          <w:bCs/>
          <w:szCs w:val="21"/>
        </w:rPr>
        <w:t>于不可抗力、意外事件等因素的影响使得投资者无法及时了解产品信息，可能会影响投资者的投资决策，因此而产生的全部责任和风险由投资者自行承担。</w:t>
      </w:r>
    </w:p>
    <w:p w:rsidR="000715C0" w:rsidRDefault="00CB504C">
      <w:pPr>
        <w:spacing w:line="276" w:lineRule="auto"/>
        <w:ind w:firstLineChars="200" w:firstLine="420"/>
        <w:jc w:val="left"/>
        <w:rPr>
          <w:rFonts w:ascii="Times New Roman" w:hAnsi="Times New Roman"/>
          <w:szCs w:val="21"/>
        </w:rPr>
      </w:pPr>
      <w:r>
        <w:rPr>
          <w:rFonts w:ascii="Times New Roman" w:hAnsi="Times New Roman" w:hint="eastAsia"/>
          <w:szCs w:val="21"/>
        </w:rPr>
        <w:t>（二）理财产品信息披露内容和时间</w:t>
      </w:r>
    </w:p>
    <w:p w:rsidR="000715C0" w:rsidRDefault="00CB504C">
      <w:pPr>
        <w:spacing w:line="276" w:lineRule="auto"/>
        <w:ind w:firstLineChars="200" w:firstLine="420"/>
        <w:jc w:val="left"/>
        <w:rPr>
          <w:rFonts w:ascii="Times New Roman" w:hAnsi="Times New Roman"/>
          <w:szCs w:val="21"/>
        </w:rPr>
      </w:pPr>
      <w:r>
        <w:rPr>
          <w:rFonts w:ascii="Times New Roman" w:hAnsi="Times New Roman"/>
          <w:szCs w:val="21"/>
        </w:rPr>
        <w:t>1</w:t>
      </w:r>
      <w:r>
        <w:rPr>
          <w:rFonts w:ascii="Times New Roman" w:hAnsi="Times New Roman" w:hint="eastAsia"/>
          <w:szCs w:val="21"/>
        </w:rPr>
        <w:t>、发行公告：渝农商理财有限责任公司在本产品成立后</w:t>
      </w:r>
      <w:r>
        <w:rPr>
          <w:rFonts w:ascii="Times New Roman" w:hAnsi="Times New Roman" w:hint="eastAsia"/>
          <w:szCs w:val="21"/>
        </w:rPr>
        <w:t>5</w:t>
      </w:r>
      <w:r>
        <w:rPr>
          <w:rFonts w:ascii="Times New Roman" w:hAnsi="Times New Roman" w:hint="eastAsia"/>
          <w:szCs w:val="21"/>
        </w:rPr>
        <w:t>个工作日内公布本产品发行公告。</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bCs/>
          <w:szCs w:val="21"/>
        </w:rPr>
        <w:t>2</w:t>
      </w:r>
      <w:r>
        <w:rPr>
          <w:rFonts w:ascii="Times New Roman" w:hAnsi="Times New Roman" w:hint="eastAsia"/>
          <w:bCs/>
          <w:szCs w:val="21"/>
        </w:rPr>
        <w:t>、到期公告：</w:t>
      </w:r>
      <w:r>
        <w:rPr>
          <w:rFonts w:ascii="Times New Roman" w:hAnsi="Times New Roman" w:hint="eastAsia"/>
          <w:szCs w:val="21"/>
        </w:rPr>
        <w:t>渝农商理财有限责任公司在</w:t>
      </w:r>
      <w:r>
        <w:rPr>
          <w:rFonts w:ascii="Times New Roman" w:hAnsi="Times New Roman" w:hint="eastAsia"/>
          <w:bCs/>
          <w:szCs w:val="21"/>
        </w:rPr>
        <w:t>本产品到期后</w:t>
      </w:r>
      <w:r>
        <w:rPr>
          <w:rFonts w:ascii="Times New Roman" w:hAnsi="Times New Roman" w:hint="eastAsia"/>
          <w:bCs/>
          <w:szCs w:val="21"/>
        </w:rPr>
        <w:t>5</w:t>
      </w:r>
      <w:r>
        <w:rPr>
          <w:rFonts w:ascii="Times New Roman" w:hAnsi="Times New Roman" w:hint="eastAsia"/>
          <w:bCs/>
          <w:szCs w:val="21"/>
        </w:rPr>
        <w:t>个工作日内公布本产品到期公告。</w:t>
      </w:r>
    </w:p>
    <w:p w:rsidR="000715C0" w:rsidRDefault="00CB504C">
      <w:pPr>
        <w:autoSpaceDE w:val="0"/>
        <w:autoSpaceDN w:val="0"/>
        <w:adjustRightInd w:val="0"/>
        <w:spacing w:line="276" w:lineRule="auto"/>
        <w:ind w:firstLineChars="200" w:firstLine="420"/>
        <w:jc w:val="left"/>
        <w:rPr>
          <w:rFonts w:ascii="Times New Roman" w:hAnsi="Times New Roman"/>
          <w:szCs w:val="21"/>
        </w:rPr>
      </w:pPr>
      <w:r>
        <w:rPr>
          <w:rFonts w:ascii="Times New Roman" w:hAnsi="Times New Roman"/>
          <w:szCs w:val="21"/>
        </w:rPr>
        <w:t>3</w:t>
      </w:r>
      <w:r>
        <w:rPr>
          <w:rFonts w:ascii="Times New Roman" w:hAnsi="Times New Roman" w:hint="eastAsia"/>
          <w:szCs w:val="21"/>
        </w:rPr>
        <w:t>、净值公告：渝农商理财有限责任公司将在每个开放日后的</w:t>
      </w:r>
      <w:r>
        <w:rPr>
          <w:rFonts w:ascii="Times New Roman" w:hAnsi="Times New Roman" w:hint="eastAsia"/>
          <w:szCs w:val="21"/>
        </w:rPr>
        <w:t>2</w:t>
      </w:r>
      <w:r>
        <w:rPr>
          <w:rFonts w:ascii="Times New Roman" w:hAnsi="Times New Roman" w:hint="eastAsia"/>
          <w:szCs w:val="21"/>
        </w:rPr>
        <w:t>个工作日内披露本理财产品在开放日的份额净值、份额累计净值、申购价格和赎回价格等。</w:t>
      </w:r>
      <w:r>
        <w:rPr>
          <w:rFonts w:ascii="Times New Roman" w:hAnsi="Times New Roman" w:hint="eastAsia"/>
          <w:szCs w:val="21"/>
        </w:rPr>
        <w:t xml:space="preserve">      </w:t>
      </w:r>
    </w:p>
    <w:p w:rsidR="000715C0" w:rsidRDefault="00CB504C">
      <w:pPr>
        <w:autoSpaceDE w:val="0"/>
        <w:autoSpaceDN w:val="0"/>
        <w:adjustRightInd w:val="0"/>
        <w:spacing w:line="276" w:lineRule="auto"/>
        <w:ind w:firstLineChars="200" w:firstLine="420"/>
        <w:jc w:val="left"/>
        <w:rPr>
          <w:rFonts w:ascii="Times New Roman" w:hAnsi="Times New Roman"/>
          <w:bCs/>
          <w:szCs w:val="21"/>
        </w:rPr>
      </w:pPr>
      <w:r>
        <w:rPr>
          <w:rFonts w:ascii="Times New Roman" w:hAnsi="Times New Roman"/>
          <w:bCs/>
          <w:szCs w:val="21"/>
        </w:rPr>
        <w:t>4</w:t>
      </w:r>
      <w:r>
        <w:rPr>
          <w:rFonts w:ascii="Times New Roman" w:hAnsi="Times New Roman" w:hint="eastAsia"/>
          <w:bCs/>
          <w:szCs w:val="21"/>
        </w:rPr>
        <w:t>、定期报告：</w:t>
      </w:r>
      <w:r>
        <w:rPr>
          <w:rFonts w:ascii="Times New Roman" w:hAnsi="Times New Roman" w:hint="eastAsia"/>
          <w:szCs w:val="21"/>
        </w:rPr>
        <w:t>渝农商理财有限责任公司</w:t>
      </w:r>
      <w:r>
        <w:rPr>
          <w:rFonts w:ascii="Times New Roman" w:hAnsi="Times New Roman" w:hint="eastAsia"/>
          <w:bCs/>
          <w:szCs w:val="21"/>
        </w:rPr>
        <w:t>在每季度结束之日起</w:t>
      </w:r>
      <w:r>
        <w:rPr>
          <w:rFonts w:ascii="Times New Roman" w:hAnsi="Times New Roman" w:hint="eastAsia"/>
          <w:bCs/>
          <w:szCs w:val="21"/>
        </w:rPr>
        <w:t>15</w:t>
      </w:r>
      <w:r>
        <w:rPr>
          <w:rFonts w:ascii="Times New Roman" w:hAnsi="Times New Roman" w:hint="eastAsia"/>
          <w:bCs/>
          <w:szCs w:val="21"/>
        </w:rPr>
        <w:t>个工作日内公布上季度末产品的季度报告，在</w:t>
      </w:r>
      <w:r>
        <w:rPr>
          <w:rFonts w:ascii="Times New Roman" w:hAnsi="Times New Roman"/>
          <w:bCs/>
          <w:szCs w:val="21"/>
        </w:rPr>
        <w:t>上半年结束之日起</w:t>
      </w:r>
      <w:r>
        <w:rPr>
          <w:rFonts w:ascii="Times New Roman" w:hAnsi="Times New Roman"/>
          <w:bCs/>
          <w:szCs w:val="21"/>
        </w:rPr>
        <w:t>60</w:t>
      </w:r>
      <w:r>
        <w:rPr>
          <w:rFonts w:ascii="Times New Roman" w:hAnsi="Times New Roman"/>
          <w:bCs/>
          <w:szCs w:val="21"/>
        </w:rPr>
        <w:t>个工作日内</w:t>
      </w:r>
      <w:r>
        <w:rPr>
          <w:rFonts w:ascii="Times New Roman" w:hAnsi="Times New Roman" w:hint="eastAsia"/>
          <w:bCs/>
          <w:szCs w:val="21"/>
        </w:rPr>
        <w:t>公布产品半年度报告，在每年</w:t>
      </w:r>
      <w:r>
        <w:rPr>
          <w:rFonts w:ascii="Times New Roman" w:hAnsi="Times New Roman"/>
          <w:bCs/>
          <w:szCs w:val="21"/>
        </w:rPr>
        <w:t>结束之日起</w:t>
      </w:r>
      <w:r>
        <w:rPr>
          <w:rFonts w:ascii="Times New Roman" w:hAnsi="Times New Roman"/>
          <w:bCs/>
          <w:szCs w:val="21"/>
        </w:rPr>
        <w:t>90</w:t>
      </w:r>
      <w:r>
        <w:rPr>
          <w:rFonts w:ascii="Times New Roman" w:hAnsi="Times New Roman"/>
          <w:bCs/>
          <w:szCs w:val="21"/>
        </w:rPr>
        <w:t>个工作日内</w:t>
      </w:r>
      <w:r>
        <w:rPr>
          <w:rFonts w:ascii="Times New Roman" w:hAnsi="Times New Roman" w:hint="eastAsia"/>
          <w:bCs/>
          <w:szCs w:val="21"/>
        </w:rPr>
        <w:t>公布产品年度报告，向投资者披露投资状况、投资表现、风险状况等信息。逢半年末，半年报与当季季度报告合并；逢年末，年度报告与半年度报告合并。理财产品成立不足</w:t>
      </w:r>
      <w:r>
        <w:rPr>
          <w:rFonts w:ascii="Times New Roman" w:hAnsi="Times New Roman" w:hint="eastAsia"/>
          <w:bCs/>
          <w:szCs w:val="21"/>
        </w:rPr>
        <w:t>90</w:t>
      </w:r>
      <w:r>
        <w:rPr>
          <w:rFonts w:ascii="Times New Roman" w:hAnsi="Times New Roman" w:hint="eastAsia"/>
          <w:bCs/>
          <w:szCs w:val="21"/>
        </w:rPr>
        <w:t>个工作日或者剩余存续期不超过</w:t>
      </w:r>
      <w:r>
        <w:rPr>
          <w:rFonts w:ascii="Times New Roman" w:hAnsi="Times New Roman" w:hint="eastAsia"/>
          <w:bCs/>
          <w:szCs w:val="21"/>
        </w:rPr>
        <w:t>90</w:t>
      </w:r>
      <w:r>
        <w:rPr>
          <w:rFonts w:ascii="Times New Roman" w:hAnsi="Times New Roman" w:hint="eastAsia"/>
          <w:bCs/>
          <w:szCs w:val="21"/>
        </w:rPr>
        <w:t>个工作日的，</w:t>
      </w:r>
      <w:r>
        <w:rPr>
          <w:rFonts w:ascii="Times New Roman" w:hAnsi="Times New Roman" w:hint="eastAsia"/>
          <w:szCs w:val="21"/>
        </w:rPr>
        <w:t>渝农商理财有限责任公司</w:t>
      </w:r>
      <w:r>
        <w:rPr>
          <w:rFonts w:ascii="Times New Roman" w:hAnsi="Times New Roman" w:hint="eastAsia"/>
          <w:bCs/>
          <w:szCs w:val="21"/>
        </w:rPr>
        <w:t>可以不编制理财产品当期的季度、半年和年度报告。</w:t>
      </w:r>
    </w:p>
    <w:p w:rsidR="000715C0" w:rsidRDefault="00CB504C">
      <w:pPr>
        <w:spacing w:line="276" w:lineRule="auto"/>
        <w:ind w:firstLineChars="200" w:firstLine="420"/>
        <w:jc w:val="left"/>
        <w:rPr>
          <w:rFonts w:ascii="Times New Roman" w:hAnsi="Times New Roman"/>
          <w:bCs/>
          <w:szCs w:val="21"/>
        </w:rPr>
      </w:pPr>
      <w:r>
        <w:rPr>
          <w:rFonts w:ascii="Times New Roman" w:hAnsi="Times New Roman"/>
          <w:bCs/>
          <w:szCs w:val="21"/>
        </w:rPr>
        <w:t>5</w:t>
      </w:r>
      <w:r>
        <w:rPr>
          <w:rFonts w:ascii="Times New Roman" w:hAnsi="Times New Roman" w:hint="eastAsia"/>
          <w:bCs/>
          <w:szCs w:val="21"/>
        </w:rPr>
        <w:t>、重大事项公告：在发生可能对本理财产品投资者或者理财产品收益产生重大影响的事</w:t>
      </w:r>
      <w:r>
        <w:rPr>
          <w:rFonts w:ascii="Times New Roman" w:hAnsi="Times New Roman" w:hint="eastAsia"/>
          <w:bCs/>
          <w:szCs w:val="21"/>
        </w:rPr>
        <w:t>件后</w:t>
      </w:r>
      <w:r>
        <w:rPr>
          <w:rFonts w:ascii="Times New Roman" w:hAnsi="Times New Roman" w:hint="eastAsia"/>
          <w:bCs/>
          <w:szCs w:val="21"/>
        </w:rPr>
        <w:t>2</w:t>
      </w:r>
      <w:r>
        <w:rPr>
          <w:rFonts w:ascii="Times New Roman" w:hAnsi="Times New Roman" w:hint="eastAsia"/>
          <w:bCs/>
          <w:szCs w:val="21"/>
        </w:rPr>
        <w:t>个工作日内发布重大事项公告。</w:t>
      </w:r>
    </w:p>
    <w:p w:rsidR="000715C0" w:rsidRDefault="00CB504C">
      <w:pPr>
        <w:spacing w:line="276" w:lineRule="auto"/>
        <w:ind w:firstLineChars="200" w:firstLine="420"/>
        <w:rPr>
          <w:rFonts w:ascii="Times New Roman" w:hAnsi="Times New Roman"/>
          <w:szCs w:val="21"/>
        </w:rPr>
      </w:pPr>
      <w:r>
        <w:rPr>
          <w:rFonts w:ascii="Times New Roman" w:hAnsi="Times New Roman"/>
          <w:bCs/>
          <w:szCs w:val="21"/>
        </w:rPr>
        <w:t>6</w:t>
      </w:r>
      <w:r>
        <w:rPr>
          <w:rFonts w:ascii="Times New Roman" w:hAnsi="Times New Roman" w:hint="eastAsia"/>
          <w:bCs/>
          <w:szCs w:val="21"/>
        </w:rPr>
        <w:t>、临时性信息披露：若发生理财产品不成立、变更募集期、提前终止、规模调整、认购、申购、赎回事项调整或潜在影响投资者赎回</w:t>
      </w:r>
      <w:r>
        <w:rPr>
          <w:rFonts w:ascii="Times New Roman" w:hAnsi="Times New Roman"/>
          <w:bCs/>
          <w:szCs w:val="21"/>
        </w:rPr>
        <w:t>等经</w:t>
      </w:r>
      <w:r>
        <w:rPr>
          <w:rFonts w:ascii="Times New Roman" w:hAnsi="Times New Roman" w:hint="eastAsia"/>
          <w:szCs w:val="21"/>
        </w:rPr>
        <w:t>渝农商理财有限责任公司</w:t>
      </w:r>
      <w:r>
        <w:rPr>
          <w:rFonts w:ascii="Times New Roman" w:hAnsi="Times New Roman"/>
          <w:bCs/>
          <w:szCs w:val="21"/>
        </w:rPr>
        <w:t>判断可能对</w:t>
      </w:r>
      <w:r>
        <w:rPr>
          <w:rFonts w:ascii="Times New Roman" w:hAnsi="Times New Roman" w:hint="eastAsia"/>
          <w:bCs/>
          <w:szCs w:val="21"/>
        </w:rPr>
        <w:t>投资者</w:t>
      </w:r>
      <w:r>
        <w:rPr>
          <w:rFonts w:ascii="Times New Roman" w:hAnsi="Times New Roman"/>
          <w:bCs/>
          <w:szCs w:val="21"/>
        </w:rPr>
        <w:t>产生影响的事项时，或按法律法规</w:t>
      </w:r>
      <w:r>
        <w:rPr>
          <w:rFonts w:ascii="Times New Roman" w:hAnsi="Times New Roman" w:hint="eastAsia"/>
          <w:bCs/>
          <w:szCs w:val="21"/>
        </w:rPr>
        <w:t>、</w:t>
      </w:r>
      <w:r>
        <w:rPr>
          <w:rFonts w:ascii="Times New Roman" w:hAnsi="Times New Roman"/>
          <w:bCs/>
          <w:szCs w:val="21"/>
        </w:rPr>
        <w:t>监管政策规定必须披露的</w:t>
      </w:r>
      <w:r>
        <w:rPr>
          <w:rFonts w:ascii="Times New Roman" w:hAnsi="Times New Roman" w:hint="eastAsia"/>
          <w:bCs/>
          <w:szCs w:val="21"/>
        </w:rPr>
        <w:t>，</w:t>
      </w:r>
      <w:r>
        <w:rPr>
          <w:rFonts w:ascii="Times New Roman" w:hAnsi="Times New Roman" w:hint="eastAsia"/>
          <w:szCs w:val="21"/>
        </w:rPr>
        <w:t>渝农商理财有限责任公司</w:t>
      </w:r>
      <w:r>
        <w:rPr>
          <w:rFonts w:ascii="Times New Roman" w:hAnsi="Times New Roman"/>
          <w:bCs/>
          <w:szCs w:val="21"/>
        </w:rPr>
        <w:t>将及时进行临时信息披露。</w:t>
      </w:r>
    </w:p>
    <w:p w:rsidR="000715C0" w:rsidRDefault="00CB504C">
      <w:pPr>
        <w:spacing w:line="276" w:lineRule="auto"/>
        <w:ind w:firstLineChars="200" w:firstLine="422"/>
        <w:outlineLvl w:val="0"/>
        <w:rPr>
          <w:rFonts w:ascii="Times New Roman" w:hAnsi="Times New Roman"/>
          <w:b/>
          <w:bCs/>
          <w:szCs w:val="21"/>
        </w:rPr>
      </w:pPr>
      <w:r>
        <w:rPr>
          <w:rFonts w:ascii="Times New Roman" w:hAnsi="Times New Roman" w:hint="eastAsia"/>
          <w:b/>
          <w:bCs/>
          <w:szCs w:val="21"/>
        </w:rPr>
        <w:t>八、其他事项</w:t>
      </w:r>
    </w:p>
    <w:p w:rsidR="000715C0" w:rsidRDefault="00CB504C">
      <w:pPr>
        <w:spacing w:line="276" w:lineRule="auto"/>
        <w:ind w:firstLine="420"/>
        <w:rPr>
          <w:rFonts w:ascii="Times New Roman" w:hAnsi="Times New Roman"/>
          <w:bCs/>
          <w:szCs w:val="21"/>
        </w:rPr>
      </w:pPr>
      <w:bookmarkStart w:id="34" w:name="_Hlk38477057"/>
      <w:r>
        <w:rPr>
          <w:rFonts w:ascii="Times New Roman" w:hAnsi="Times New Roman" w:hint="eastAsia"/>
          <w:bCs/>
          <w:szCs w:val="21"/>
        </w:rPr>
        <w:t>（一）</w:t>
      </w:r>
      <w:r>
        <w:rPr>
          <w:rFonts w:ascii="Times New Roman" w:hAnsi="Times New Roman" w:hint="eastAsia"/>
          <w:szCs w:val="21"/>
        </w:rPr>
        <w:t>投资者可通过销售（代理销售）机构在产品存续期内查询所持有的理财产品账单等相关信息。</w:t>
      </w:r>
    </w:p>
    <w:p w:rsidR="000715C0" w:rsidRDefault="00CB504C">
      <w:pPr>
        <w:spacing w:line="276" w:lineRule="auto"/>
        <w:ind w:firstLineChars="200" w:firstLine="420"/>
        <w:rPr>
          <w:rFonts w:ascii="Times New Roman" w:hAnsi="Times New Roman"/>
          <w:bCs/>
          <w:szCs w:val="21"/>
        </w:rPr>
      </w:pPr>
      <w:r>
        <w:rPr>
          <w:rFonts w:ascii="Times New Roman" w:hAnsi="Times New Roman" w:hint="eastAsia"/>
          <w:bCs/>
          <w:szCs w:val="21"/>
        </w:rPr>
        <w:t>（二）投资者有义务及时核对所收到的任何款项，以及</w:t>
      </w:r>
      <w:r>
        <w:rPr>
          <w:rFonts w:ascii="Times New Roman" w:hAnsi="Times New Roman" w:hint="eastAsia"/>
          <w:szCs w:val="21"/>
        </w:rPr>
        <w:t>渝农商理财有限责任公司</w:t>
      </w:r>
      <w:r>
        <w:rPr>
          <w:rFonts w:ascii="Times New Roman" w:hAnsi="Times New Roman" w:hint="eastAsia"/>
          <w:bCs/>
          <w:szCs w:val="21"/>
        </w:rPr>
        <w:t>向投资者提供的相关信息资料是否准确。如</w:t>
      </w:r>
      <w:r>
        <w:rPr>
          <w:rFonts w:ascii="Times New Roman" w:hAnsi="Times New Roman" w:hint="eastAsia"/>
          <w:bCs/>
          <w:szCs w:val="21"/>
        </w:rPr>
        <w:t>投资者有疑义，应在</w:t>
      </w:r>
      <w:r>
        <w:rPr>
          <w:rFonts w:ascii="Times New Roman" w:hAnsi="Times New Roman" w:hint="eastAsia"/>
          <w:szCs w:val="21"/>
        </w:rPr>
        <w:t>渝农商理财有限责任公司</w:t>
      </w:r>
      <w:r>
        <w:rPr>
          <w:rFonts w:ascii="Times New Roman" w:hAnsi="Times New Roman" w:hint="eastAsia"/>
          <w:bCs/>
          <w:szCs w:val="21"/>
        </w:rPr>
        <w:t>发出相关信息资料后的</w:t>
      </w:r>
      <w:r>
        <w:rPr>
          <w:rFonts w:ascii="Times New Roman" w:hAnsi="Times New Roman" w:hint="eastAsia"/>
          <w:bCs/>
          <w:szCs w:val="21"/>
        </w:rPr>
        <w:t>30</w:t>
      </w:r>
      <w:r>
        <w:rPr>
          <w:rFonts w:ascii="Times New Roman" w:hAnsi="Times New Roman" w:hint="eastAsia"/>
          <w:bCs/>
          <w:szCs w:val="21"/>
        </w:rPr>
        <w:t>日内提出；如投资者在前述期限内未提出的，视为投资者无疑义。但除非存在明显的计算错误，本产品的款项以</w:t>
      </w:r>
      <w:r>
        <w:rPr>
          <w:rFonts w:ascii="Times New Roman" w:hAnsi="Times New Roman" w:hint="eastAsia"/>
          <w:szCs w:val="21"/>
        </w:rPr>
        <w:t>渝农商理财有限责任公司</w:t>
      </w:r>
      <w:r>
        <w:rPr>
          <w:rFonts w:ascii="Times New Roman" w:hAnsi="Times New Roman" w:hint="eastAsia"/>
          <w:bCs/>
          <w:szCs w:val="21"/>
        </w:rPr>
        <w:t>记载为准。</w:t>
      </w:r>
    </w:p>
    <w:p w:rsidR="000715C0" w:rsidRDefault="00CB504C">
      <w:pPr>
        <w:spacing w:line="276" w:lineRule="auto"/>
        <w:ind w:firstLine="420"/>
        <w:rPr>
          <w:rFonts w:ascii="Times New Roman" w:hAnsi="Times New Roman" w:cs="宋体"/>
          <w:szCs w:val="21"/>
        </w:rPr>
      </w:pPr>
      <w:r>
        <w:rPr>
          <w:rFonts w:ascii="Times New Roman" w:hAnsi="Times New Roman" w:cs="宋体" w:hint="eastAsia"/>
          <w:szCs w:val="21"/>
        </w:rPr>
        <w:t>（三）</w:t>
      </w:r>
      <w:r>
        <w:rPr>
          <w:rFonts w:ascii="Times New Roman" w:hAnsi="Times New Roman" w:hint="eastAsia"/>
          <w:szCs w:val="21"/>
        </w:rPr>
        <w:t>渝农商理财有限责任公司</w:t>
      </w:r>
      <w:r>
        <w:rPr>
          <w:rFonts w:ascii="Times New Roman" w:hAnsi="Times New Roman" w:cs="宋体"/>
          <w:szCs w:val="21"/>
        </w:rPr>
        <w:t>应当依法履行投资者信息保密义务</w:t>
      </w:r>
      <w:r>
        <w:rPr>
          <w:rFonts w:ascii="Times New Roman" w:hAnsi="Times New Roman" w:cs="宋体" w:hint="eastAsia"/>
          <w:szCs w:val="21"/>
        </w:rPr>
        <w:t>。非经投资者事先许可，不得向第三方披露，</w:t>
      </w:r>
      <w:r>
        <w:rPr>
          <w:rFonts w:ascii="Times New Roman" w:hAnsi="Times New Roman" w:cs="宋体"/>
          <w:szCs w:val="21"/>
        </w:rPr>
        <w:t>除法律法规另有规定或有权机关另有要求外</w:t>
      </w:r>
      <w:r>
        <w:rPr>
          <w:rFonts w:ascii="Times New Roman" w:hAnsi="Times New Roman" w:cs="宋体" w:hint="eastAsia"/>
          <w:szCs w:val="21"/>
        </w:rPr>
        <w:t>。投资者在此同意并授权，渝农商理财有限责任公司可根据监管要求，为理财产品登记需要，向登记部门或监管机构提供投资者相关信息。</w:t>
      </w:r>
    </w:p>
    <w:p w:rsidR="000715C0" w:rsidRDefault="00CB504C">
      <w:pPr>
        <w:spacing w:line="276" w:lineRule="auto"/>
        <w:ind w:firstLine="420"/>
        <w:rPr>
          <w:rFonts w:ascii="Times New Roman" w:hAnsi="Times New Roman" w:cs="宋体"/>
          <w:szCs w:val="21"/>
        </w:rPr>
      </w:pPr>
      <w:r>
        <w:rPr>
          <w:rFonts w:ascii="Times New Roman" w:hAnsi="Times New Roman" w:cs="宋体" w:hint="eastAsia"/>
          <w:szCs w:val="21"/>
        </w:rPr>
        <w:t>（四）</w:t>
      </w:r>
      <w:r>
        <w:rPr>
          <w:rFonts w:ascii="Times New Roman" w:hAnsi="Times New Roman" w:hint="eastAsia"/>
          <w:szCs w:val="21"/>
        </w:rPr>
        <w:t>渝农商理财有限责任公司</w:t>
      </w:r>
      <w:r>
        <w:rPr>
          <w:rFonts w:ascii="Times New Roman" w:hAnsi="Times New Roman" w:cs="宋体" w:hint="eastAsia"/>
          <w:szCs w:val="21"/>
        </w:rPr>
        <w:t>统一社会信用代码</w:t>
      </w:r>
      <w:bookmarkStart w:id="35" w:name="_Hlk43732020"/>
      <w:r>
        <w:rPr>
          <w:rFonts w:ascii="Times New Roman" w:hAnsi="Times New Roman" w:cs="宋体" w:hint="eastAsia"/>
          <w:szCs w:val="21"/>
        </w:rPr>
        <w:t>【</w:t>
      </w:r>
      <w:r>
        <w:rPr>
          <w:rFonts w:ascii="Times New Roman" w:hAnsi="Times New Roman" w:cs="宋体" w:hint="eastAsia"/>
          <w:szCs w:val="21"/>
        </w:rPr>
        <w:t>91500105MA610TKW7P</w:t>
      </w:r>
      <w:bookmarkEnd w:id="35"/>
      <w:r>
        <w:rPr>
          <w:rFonts w:ascii="Times New Roman" w:hAnsi="Times New Roman" w:cs="宋体" w:hint="eastAsia"/>
          <w:szCs w:val="21"/>
        </w:rPr>
        <w:t>】</w:t>
      </w:r>
      <w:r>
        <w:rPr>
          <w:rFonts w:ascii="Times New Roman" w:hAnsi="Times New Roman" w:cs="仿宋_GB2312" w:hint="eastAsia"/>
          <w:color w:val="000000"/>
          <w:kern w:val="0"/>
          <w:szCs w:val="21"/>
        </w:rPr>
        <w:t>；</w:t>
      </w:r>
      <w:r>
        <w:rPr>
          <w:rFonts w:ascii="Times New Roman" w:hAnsi="Times New Roman" w:hint="eastAsia"/>
          <w:szCs w:val="21"/>
        </w:rPr>
        <w:t>渝农商理财有限责任公司</w:t>
      </w:r>
      <w:r>
        <w:rPr>
          <w:rFonts w:ascii="Times New Roman" w:hAnsi="Times New Roman" w:cs="宋体" w:hint="eastAsia"/>
          <w:szCs w:val="21"/>
        </w:rPr>
        <w:t>金融机构代码【</w:t>
      </w:r>
      <w:r>
        <w:rPr>
          <w:rFonts w:ascii="Times New Roman" w:hAnsi="Times New Roman" w:cs="宋体" w:hint="eastAsia"/>
          <w:szCs w:val="21"/>
        </w:rPr>
        <w:t>Z0028H250000001</w:t>
      </w:r>
      <w:r>
        <w:rPr>
          <w:rFonts w:ascii="Times New Roman" w:hAnsi="Times New Roman" w:cs="宋体" w:hint="eastAsia"/>
          <w:szCs w:val="21"/>
        </w:rPr>
        <w:t>】。</w:t>
      </w:r>
    </w:p>
    <w:p w:rsidR="000715C0" w:rsidRDefault="00CB504C">
      <w:pPr>
        <w:spacing w:line="276" w:lineRule="auto"/>
        <w:ind w:firstLine="420"/>
        <w:rPr>
          <w:rFonts w:ascii="Times New Roman" w:hAnsi="Times New Roman" w:cs="宋体"/>
          <w:b/>
          <w:bCs/>
          <w:szCs w:val="21"/>
        </w:rPr>
      </w:pPr>
      <w:r>
        <w:rPr>
          <w:rFonts w:ascii="Times New Roman" w:hAnsi="Times New Roman" w:cs="宋体" w:hint="eastAsia"/>
          <w:b/>
          <w:bCs/>
          <w:szCs w:val="21"/>
        </w:rPr>
        <w:t>（五）如需咨询或投诉请通过投资者权益须知上载明的渠道反馈。</w:t>
      </w:r>
    </w:p>
    <w:bookmarkEnd w:id="34"/>
    <w:p w:rsidR="000715C0" w:rsidRDefault="000715C0">
      <w:pPr>
        <w:spacing w:line="276" w:lineRule="auto"/>
        <w:ind w:firstLine="420"/>
        <w:rPr>
          <w:rFonts w:ascii="Times New Roman" w:hAnsi="Times New Roman" w:cs="宋体"/>
          <w:szCs w:val="21"/>
        </w:rPr>
      </w:pPr>
    </w:p>
    <w:p w:rsidR="000715C0" w:rsidRDefault="000715C0">
      <w:pPr>
        <w:spacing w:line="276" w:lineRule="auto"/>
        <w:ind w:firstLineChars="2650" w:firstLine="5565"/>
        <w:rPr>
          <w:rFonts w:ascii="Times New Roman" w:hAnsi="Times New Roman"/>
          <w:kern w:val="0"/>
          <w:szCs w:val="21"/>
        </w:rPr>
      </w:pPr>
    </w:p>
    <w:p w:rsidR="000715C0" w:rsidRDefault="00CB504C">
      <w:pPr>
        <w:spacing w:line="276" w:lineRule="auto"/>
        <w:rPr>
          <w:rFonts w:ascii="Times New Roman" w:hAnsi="Times New Roman" w:cs="Arial"/>
          <w:szCs w:val="21"/>
        </w:rPr>
      </w:pPr>
      <w:r>
        <w:rPr>
          <w:rFonts w:ascii="Times New Roman" w:hAnsi="Times New Roman" w:cs="Arial" w:hint="eastAsia"/>
          <w:szCs w:val="21"/>
        </w:rPr>
        <w:t>个人投资者签字：</w:t>
      </w:r>
    </w:p>
    <w:p w:rsidR="000715C0" w:rsidRDefault="000715C0">
      <w:pPr>
        <w:spacing w:line="276" w:lineRule="auto"/>
        <w:rPr>
          <w:rFonts w:ascii="Times New Roman" w:hAnsi="Times New Roman" w:cs="Arial"/>
          <w:szCs w:val="21"/>
        </w:rPr>
      </w:pPr>
    </w:p>
    <w:p w:rsidR="000715C0" w:rsidRDefault="00CB504C">
      <w:pPr>
        <w:spacing w:line="276" w:lineRule="auto"/>
        <w:rPr>
          <w:rFonts w:ascii="Times New Roman" w:hAnsi="Times New Roman" w:cs="Arial"/>
          <w:szCs w:val="21"/>
        </w:rPr>
      </w:pPr>
      <w:r>
        <w:rPr>
          <w:rFonts w:ascii="Times New Roman" w:hAnsi="Times New Roman" w:cs="Arial" w:hint="eastAsia"/>
          <w:szCs w:val="21"/>
        </w:rPr>
        <w:t>机构投资者（盖章）：</w:t>
      </w:r>
    </w:p>
    <w:p w:rsidR="000715C0" w:rsidRDefault="000715C0">
      <w:pPr>
        <w:spacing w:line="276" w:lineRule="auto"/>
        <w:rPr>
          <w:rFonts w:ascii="Times New Roman" w:hAnsi="Times New Roman" w:cs="Arial"/>
          <w:szCs w:val="21"/>
        </w:rPr>
      </w:pPr>
    </w:p>
    <w:p w:rsidR="000715C0" w:rsidRDefault="00CB504C">
      <w:pPr>
        <w:spacing w:line="276" w:lineRule="auto"/>
        <w:rPr>
          <w:rFonts w:ascii="Times New Roman" w:hAnsi="Times New Roman" w:cs="Arial"/>
          <w:szCs w:val="21"/>
        </w:rPr>
      </w:pPr>
      <w:r>
        <w:rPr>
          <w:rFonts w:ascii="Times New Roman" w:hAnsi="Times New Roman" w:cs="Arial" w:hint="eastAsia"/>
          <w:szCs w:val="21"/>
        </w:rPr>
        <w:t>机构投资者法定代表人或授权代表（签字或盖章）</w:t>
      </w:r>
      <w:r>
        <w:rPr>
          <w:rFonts w:ascii="Times New Roman" w:hAnsi="Times New Roman" w:cs="Arial" w:hint="eastAsia"/>
          <w:szCs w:val="21"/>
        </w:rPr>
        <w:t>:</w:t>
      </w:r>
    </w:p>
    <w:p w:rsidR="000715C0" w:rsidRDefault="000715C0">
      <w:pPr>
        <w:spacing w:line="276" w:lineRule="auto"/>
        <w:rPr>
          <w:rFonts w:ascii="Times New Roman" w:hAnsi="Times New Roman" w:cs="Arial"/>
          <w:szCs w:val="21"/>
        </w:rPr>
      </w:pPr>
    </w:p>
    <w:p w:rsidR="000715C0" w:rsidRDefault="00CB504C">
      <w:pPr>
        <w:spacing w:line="276" w:lineRule="auto"/>
        <w:rPr>
          <w:rFonts w:ascii="Times New Roman" w:hAnsi="Times New Roman" w:cs="Arial"/>
          <w:szCs w:val="21"/>
        </w:rPr>
      </w:pPr>
      <w:r>
        <w:rPr>
          <w:rFonts w:ascii="Times New Roman" w:hAnsi="Times New Roman" w:cs="Arial" w:hint="eastAsia"/>
          <w:szCs w:val="21"/>
        </w:rPr>
        <w:t>日期：</w:t>
      </w:r>
    </w:p>
    <w:p w:rsidR="000715C0" w:rsidRDefault="000715C0">
      <w:pPr>
        <w:spacing w:line="276" w:lineRule="auto"/>
        <w:rPr>
          <w:rFonts w:ascii="Times New Roman" w:hAnsi="Times New Roman" w:cs="Arial"/>
          <w:szCs w:val="21"/>
        </w:rPr>
      </w:pPr>
    </w:p>
    <w:p w:rsidR="000715C0" w:rsidRDefault="000715C0">
      <w:pPr>
        <w:spacing w:line="276" w:lineRule="auto"/>
        <w:rPr>
          <w:rFonts w:ascii="Times New Roman" w:hAnsi="Times New Roman" w:cs="Arial"/>
          <w:szCs w:val="21"/>
        </w:rPr>
      </w:pPr>
    </w:p>
    <w:p w:rsidR="000715C0" w:rsidRDefault="00CB504C">
      <w:pPr>
        <w:spacing w:line="276" w:lineRule="auto"/>
        <w:jc w:val="right"/>
        <w:rPr>
          <w:rFonts w:ascii="Times New Roman" w:hAnsi="Times New Roman"/>
          <w:szCs w:val="21"/>
        </w:rPr>
      </w:pPr>
      <w:bookmarkStart w:id="36" w:name="_GoBack"/>
      <w:bookmarkEnd w:id="36"/>
      <w:r>
        <w:rPr>
          <w:rFonts w:ascii="Times New Roman" w:hAnsi="Times New Roman" w:cs="Arial"/>
          <w:szCs w:val="21"/>
        </w:rPr>
        <w:t>（</w:t>
      </w:r>
      <w:r>
        <w:rPr>
          <w:rFonts w:ascii="Times New Roman" w:hAnsi="Times New Roman" w:cs="Arial" w:hint="eastAsia"/>
          <w:szCs w:val="21"/>
        </w:rPr>
        <w:t>2</w:t>
      </w:r>
      <w:r>
        <w:rPr>
          <w:rFonts w:ascii="Times New Roman" w:hAnsi="Times New Roman" w:cs="Arial"/>
          <w:szCs w:val="21"/>
        </w:rPr>
        <w:t>024</w:t>
      </w:r>
      <w:r>
        <w:rPr>
          <w:rFonts w:ascii="Times New Roman" w:hAnsi="Times New Roman" w:cs="Arial"/>
          <w:szCs w:val="21"/>
        </w:rPr>
        <w:t>年</w:t>
      </w:r>
      <w:r w:rsidR="009510C5">
        <w:rPr>
          <w:rFonts w:ascii="Times New Roman" w:hAnsi="Times New Roman" w:cs="Arial"/>
          <w:szCs w:val="21"/>
        </w:rPr>
        <w:t>7</w:t>
      </w:r>
      <w:r>
        <w:rPr>
          <w:rFonts w:ascii="Times New Roman" w:hAnsi="Times New Roman" w:cs="Arial" w:hint="eastAsia"/>
          <w:szCs w:val="21"/>
        </w:rPr>
        <w:t>月</w:t>
      </w:r>
      <w:r w:rsidR="009510C5">
        <w:rPr>
          <w:rFonts w:ascii="Times New Roman" w:hAnsi="Times New Roman" w:cs="Arial"/>
          <w:szCs w:val="21"/>
        </w:rPr>
        <w:t>9</w:t>
      </w:r>
      <w:r>
        <w:rPr>
          <w:rFonts w:ascii="Times New Roman" w:hAnsi="Times New Roman" w:cs="Arial" w:hint="eastAsia"/>
          <w:szCs w:val="21"/>
        </w:rPr>
        <w:t>日生效</w:t>
      </w:r>
      <w:r>
        <w:rPr>
          <w:rFonts w:ascii="Times New Roman" w:hAnsi="Times New Roman" w:cs="Arial"/>
          <w:szCs w:val="21"/>
        </w:rPr>
        <w:t>）</w:t>
      </w:r>
    </w:p>
    <w:sectPr w:rsidR="000715C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04C" w:rsidRDefault="00CB504C">
      <w:r>
        <w:separator/>
      </w:r>
    </w:p>
  </w:endnote>
  <w:endnote w:type="continuationSeparator" w:id="0">
    <w:p w:rsidR="00CB504C" w:rsidRDefault="00CB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606108"/>
    </w:sdtPr>
    <w:sdtEndPr/>
    <w:sdtContent>
      <w:p w:rsidR="000715C0" w:rsidRDefault="00CB504C">
        <w:pPr>
          <w:pStyle w:val="a7"/>
          <w:jc w:val="right"/>
        </w:pPr>
        <w:r>
          <w:fldChar w:fldCharType="begin"/>
        </w:r>
        <w:r>
          <w:instrText>PAGE   \* MERGEFORMAT</w:instrText>
        </w:r>
        <w:r>
          <w:fldChar w:fldCharType="separate"/>
        </w:r>
        <w:r w:rsidR="009510C5" w:rsidRPr="009510C5">
          <w:rPr>
            <w:noProof/>
            <w:lang w:val="zh-CN"/>
          </w:rPr>
          <w:t>7</w:t>
        </w:r>
        <w:r>
          <w:fldChar w:fldCharType="end"/>
        </w:r>
      </w:p>
    </w:sdtContent>
  </w:sdt>
  <w:p w:rsidR="000715C0" w:rsidRDefault="000715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04C" w:rsidRDefault="00CB504C">
      <w:r>
        <w:separator/>
      </w:r>
    </w:p>
  </w:footnote>
  <w:footnote w:type="continuationSeparator" w:id="0">
    <w:p w:rsidR="00CB504C" w:rsidRDefault="00CB5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5C0" w:rsidRDefault="00CB504C">
    <w:pPr>
      <w:pStyle w:val="a8"/>
      <w:ind w:right="720" w:firstLineChars="1300" w:firstLine="2340"/>
      <w:jc w:val="both"/>
    </w:pPr>
    <w:r>
      <w:rPr>
        <w:noProof/>
      </w:rPr>
      <w:drawing>
        <wp:inline distT="0" distB="0" distL="0" distR="0">
          <wp:extent cx="2139315" cy="327660"/>
          <wp:effectExtent l="0" t="0" r="0" b="0"/>
          <wp:docPr id="2" name="图片 2" descr="C:\Users\ADMINI~1\AppData\Local\Temp\WeChat Files\27e0342a5a24de60c35213f7ca5a2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27e0342a5a24de60c35213f7ca5a20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192377" cy="335988"/>
                  </a:xfrm>
                  <a:prstGeom prst="rect">
                    <a:avLst/>
                  </a:prstGeom>
                  <a:noFill/>
                  <a:ln>
                    <a:noFill/>
                  </a:ln>
                </pic:spPr>
              </pic:pic>
            </a:graphicData>
          </a:graphic>
        </wp:inline>
      </w:drawing>
    </w:r>
    <w:r>
      <w:rPr>
        <w:rFonts w:hint="eastAsia"/>
      </w:rPr>
      <w:t xml:space="preserve">       </w:t>
    </w:r>
    <w:r>
      <w:t>2024</w:t>
    </w:r>
    <w:r>
      <w:rPr>
        <w:rFonts w:hint="eastAsia"/>
      </w:rPr>
      <w:t>年第</w:t>
    </w:r>
    <w:r>
      <w:rPr>
        <w:rFonts w:hint="eastAsia"/>
      </w:rPr>
      <w:t>2</w:t>
    </w:r>
    <w:r>
      <w:rPr>
        <w:rFonts w:hint="eastAsia"/>
      </w:rPr>
      <w:t>版</w:t>
    </w:r>
  </w:p>
  <w:p w:rsidR="000715C0" w:rsidRDefault="000715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CB950DB"/>
    <w:multiLevelType w:val="singleLevel"/>
    <w:tmpl w:val="ACB950DB"/>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2YTYzZWVjN2MxYWNiZDM0MDg3Nzc4MzE2MzBmY2MifQ=="/>
  </w:docVars>
  <w:rsids>
    <w:rsidRoot w:val="00C16A1A"/>
    <w:rsid w:val="00000AF6"/>
    <w:rsid w:val="00000CCD"/>
    <w:rsid w:val="000017F7"/>
    <w:rsid w:val="00001CA4"/>
    <w:rsid w:val="00001D59"/>
    <w:rsid w:val="0000269F"/>
    <w:rsid w:val="00003407"/>
    <w:rsid w:val="00003C23"/>
    <w:rsid w:val="0000549E"/>
    <w:rsid w:val="000057CA"/>
    <w:rsid w:val="0000594D"/>
    <w:rsid w:val="00006218"/>
    <w:rsid w:val="0001039F"/>
    <w:rsid w:val="0001051F"/>
    <w:rsid w:val="00010CB9"/>
    <w:rsid w:val="00012EA6"/>
    <w:rsid w:val="000130E1"/>
    <w:rsid w:val="00014D87"/>
    <w:rsid w:val="00015D7D"/>
    <w:rsid w:val="0001612D"/>
    <w:rsid w:val="00017BA6"/>
    <w:rsid w:val="000230FA"/>
    <w:rsid w:val="000235D2"/>
    <w:rsid w:val="000235EC"/>
    <w:rsid w:val="00023660"/>
    <w:rsid w:val="00024207"/>
    <w:rsid w:val="00024AB7"/>
    <w:rsid w:val="00025BBA"/>
    <w:rsid w:val="00027971"/>
    <w:rsid w:val="0003025E"/>
    <w:rsid w:val="00031851"/>
    <w:rsid w:val="000323D7"/>
    <w:rsid w:val="00032694"/>
    <w:rsid w:val="000336A1"/>
    <w:rsid w:val="00033F7D"/>
    <w:rsid w:val="00034FB1"/>
    <w:rsid w:val="0003570A"/>
    <w:rsid w:val="0004004B"/>
    <w:rsid w:val="0004131A"/>
    <w:rsid w:val="0004178C"/>
    <w:rsid w:val="00041A57"/>
    <w:rsid w:val="00042C46"/>
    <w:rsid w:val="00042DE6"/>
    <w:rsid w:val="000453CF"/>
    <w:rsid w:val="00046D8A"/>
    <w:rsid w:val="00050068"/>
    <w:rsid w:val="000504E6"/>
    <w:rsid w:val="00050665"/>
    <w:rsid w:val="00051714"/>
    <w:rsid w:val="00052988"/>
    <w:rsid w:val="00052C88"/>
    <w:rsid w:val="000538BC"/>
    <w:rsid w:val="00054C94"/>
    <w:rsid w:val="0005519E"/>
    <w:rsid w:val="000555B2"/>
    <w:rsid w:val="0005572C"/>
    <w:rsid w:val="0005637A"/>
    <w:rsid w:val="0006173B"/>
    <w:rsid w:val="000629D8"/>
    <w:rsid w:val="0006439A"/>
    <w:rsid w:val="00064867"/>
    <w:rsid w:val="00064CC1"/>
    <w:rsid w:val="00066081"/>
    <w:rsid w:val="000662F5"/>
    <w:rsid w:val="00066343"/>
    <w:rsid w:val="00066EDE"/>
    <w:rsid w:val="0006729A"/>
    <w:rsid w:val="0007133F"/>
    <w:rsid w:val="00071565"/>
    <w:rsid w:val="000715C0"/>
    <w:rsid w:val="00071805"/>
    <w:rsid w:val="00071A7A"/>
    <w:rsid w:val="00073941"/>
    <w:rsid w:val="0007429B"/>
    <w:rsid w:val="000745D0"/>
    <w:rsid w:val="000772F2"/>
    <w:rsid w:val="00077F83"/>
    <w:rsid w:val="000801B5"/>
    <w:rsid w:val="0008310A"/>
    <w:rsid w:val="00084924"/>
    <w:rsid w:val="0008597C"/>
    <w:rsid w:val="00090B43"/>
    <w:rsid w:val="000924B1"/>
    <w:rsid w:val="00092BD9"/>
    <w:rsid w:val="000A1C61"/>
    <w:rsid w:val="000A2166"/>
    <w:rsid w:val="000A2CC7"/>
    <w:rsid w:val="000A3034"/>
    <w:rsid w:val="000A4DE4"/>
    <w:rsid w:val="000A7C5A"/>
    <w:rsid w:val="000B067C"/>
    <w:rsid w:val="000B2E36"/>
    <w:rsid w:val="000B2EC9"/>
    <w:rsid w:val="000B37C0"/>
    <w:rsid w:val="000B6408"/>
    <w:rsid w:val="000B7C05"/>
    <w:rsid w:val="000C00FF"/>
    <w:rsid w:val="000C135F"/>
    <w:rsid w:val="000C14F9"/>
    <w:rsid w:val="000C218F"/>
    <w:rsid w:val="000C3A03"/>
    <w:rsid w:val="000C716A"/>
    <w:rsid w:val="000C747B"/>
    <w:rsid w:val="000D0B5D"/>
    <w:rsid w:val="000D1555"/>
    <w:rsid w:val="000D2589"/>
    <w:rsid w:val="000D2EF1"/>
    <w:rsid w:val="000D2EFA"/>
    <w:rsid w:val="000D36F4"/>
    <w:rsid w:val="000D3FC9"/>
    <w:rsid w:val="000D40A9"/>
    <w:rsid w:val="000D4328"/>
    <w:rsid w:val="000D48F2"/>
    <w:rsid w:val="000D4CEC"/>
    <w:rsid w:val="000D645D"/>
    <w:rsid w:val="000D6832"/>
    <w:rsid w:val="000D6E0C"/>
    <w:rsid w:val="000D78D1"/>
    <w:rsid w:val="000D7A22"/>
    <w:rsid w:val="000D7B6B"/>
    <w:rsid w:val="000D7CCE"/>
    <w:rsid w:val="000E0BB5"/>
    <w:rsid w:val="000E12A4"/>
    <w:rsid w:val="000E15AD"/>
    <w:rsid w:val="000E333F"/>
    <w:rsid w:val="000E380F"/>
    <w:rsid w:val="000E59DF"/>
    <w:rsid w:val="000E60A6"/>
    <w:rsid w:val="000F0028"/>
    <w:rsid w:val="000F0AF5"/>
    <w:rsid w:val="000F0DC3"/>
    <w:rsid w:val="000F17AD"/>
    <w:rsid w:val="000F1FC5"/>
    <w:rsid w:val="000F3D82"/>
    <w:rsid w:val="000F5F7B"/>
    <w:rsid w:val="000F6831"/>
    <w:rsid w:val="000F73CB"/>
    <w:rsid w:val="00100415"/>
    <w:rsid w:val="00100926"/>
    <w:rsid w:val="00101598"/>
    <w:rsid w:val="001019A8"/>
    <w:rsid w:val="001022C1"/>
    <w:rsid w:val="00103073"/>
    <w:rsid w:val="00104488"/>
    <w:rsid w:val="00106851"/>
    <w:rsid w:val="00107A7F"/>
    <w:rsid w:val="00107BCB"/>
    <w:rsid w:val="00111438"/>
    <w:rsid w:val="00111561"/>
    <w:rsid w:val="001145BF"/>
    <w:rsid w:val="00114947"/>
    <w:rsid w:val="00115D73"/>
    <w:rsid w:val="00116D9F"/>
    <w:rsid w:val="001213D7"/>
    <w:rsid w:val="0012364C"/>
    <w:rsid w:val="0012721C"/>
    <w:rsid w:val="00127B8E"/>
    <w:rsid w:val="0013026B"/>
    <w:rsid w:val="00132A80"/>
    <w:rsid w:val="00133B9C"/>
    <w:rsid w:val="001353EA"/>
    <w:rsid w:val="00135E49"/>
    <w:rsid w:val="00136457"/>
    <w:rsid w:val="00137EAE"/>
    <w:rsid w:val="00137EE2"/>
    <w:rsid w:val="001408D3"/>
    <w:rsid w:val="00141650"/>
    <w:rsid w:val="001419DA"/>
    <w:rsid w:val="001425BC"/>
    <w:rsid w:val="00144F58"/>
    <w:rsid w:val="001459EF"/>
    <w:rsid w:val="00146989"/>
    <w:rsid w:val="00147696"/>
    <w:rsid w:val="00152297"/>
    <w:rsid w:val="00152322"/>
    <w:rsid w:val="001532D6"/>
    <w:rsid w:val="00153B8C"/>
    <w:rsid w:val="00153D8F"/>
    <w:rsid w:val="00154203"/>
    <w:rsid w:val="00154A2D"/>
    <w:rsid w:val="00154D65"/>
    <w:rsid w:val="00155665"/>
    <w:rsid w:val="00156498"/>
    <w:rsid w:val="00156583"/>
    <w:rsid w:val="00157AB1"/>
    <w:rsid w:val="00160880"/>
    <w:rsid w:val="001611D6"/>
    <w:rsid w:val="0016250A"/>
    <w:rsid w:val="0016338E"/>
    <w:rsid w:val="0016497C"/>
    <w:rsid w:val="0016542F"/>
    <w:rsid w:val="0016556A"/>
    <w:rsid w:val="00165E3F"/>
    <w:rsid w:val="001661F8"/>
    <w:rsid w:val="001715CC"/>
    <w:rsid w:val="00171DD6"/>
    <w:rsid w:val="00174627"/>
    <w:rsid w:val="00176550"/>
    <w:rsid w:val="00181E9E"/>
    <w:rsid w:val="00182A8E"/>
    <w:rsid w:val="00182ED2"/>
    <w:rsid w:val="00183403"/>
    <w:rsid w:val="00183D71"/>
    <w:rsid w:val="001857B1"/>
    <w:rsid w:val="0018661E"/>
    <w:rsid w:val="00186E3C"/>
    <w:rsid w:val="001875BA"/>
    <w:rsid w:val="00187B86"/>
    <w:rsid w:val="00187DE2"/>
    <w:rsid w:val="001907C9"/>
    <w:rsid w:val="00190F0B"/>
    <w:rsid w:val="001925BE"/>
    <w:rsid w:val="0019279D"/>
    <w:rsid w:val="00192E6B"/>
    <w:rsid w:val="0019502D"/>
    <w:rsid w:val="001969E6"/>
    <w:rsid w:val="00197A22"/>
    <w:rsid w:val="001A0A2F"/>
    <w:rsid w:val="001A0E08"/>
    <w:rsid w:val="001A1362"/>
    <w:rsid w:val="001A1695"/>
    <w:rsid w:val="001A170D"/>
    <w:rsid w:val="001A1751"/>
    <w:rsid w:val="001A1A6C"/>
    <w:rsid w:val="001A1AFC"/>
    <w:rsid w:val="001A2069"/>
    <w:rsid w:val="001A2C29"/>
    <w:rsid w:val="001A309F"/>
    <w:rsid w:val="001A4928"/>
    <w:rsid w:val="001A50CE"/>
    <w:rsid w:val="001A54EA"/>
    <w:rsid w:val="001A6B01"/>
    <w:rsid w:val="001A6F7A"/>
    <w:rsid w:val="001A7329"/>
    <w:rsid w:val="001A7C62"/>
    <w:rsid w:val="001B07F6"/>
    <w:rsid w:val="001B1D81"/>
    <w:rsid w:val="001B24EB"/>
    <w:rsid w:val="001B31CA"/>
    <w:rsid w:val="001B3775"/>
    <w:rsid w:val="001B4D4B"/>
    <w:rsid w:val="001B5D97"/>
    <w:rsid w:val="001B71F5"/>
    <w:rsid w:val="001B7EBE"/>
    <w:rsid w:val="001C0CE7"/>
    <w:rsid w:val="001C19BF"/>
    <w:rsid w:val="001C3311"/>
    <w:rsid w:val="001C4170"/>
    <w:rsid w:val="001C50A9"/>
    <w:rsid w:val="001C6519"/>
    <w:rsid w:val="001C6860"/>
    <w:rsid w:val="001C73EE"/>
    <w:rsid w:val="001D0F0B"/>
    <w:rsid w:val="001D31E2"/>
    <w:rsid w:val="001D4A00"/>
    <w:rsid w:val="001D4D48"/>
    <w:rsid w:val="001D6509"/>
    <w:rsid w:val="001D66E0"/>
    <w:rsid w:val="001D787E"/>
    <w:rsid w:val="001D7BFF"/>
    <w:rsid w:val="001E0BDE"/>
    <w:rsid w:val="001E10DB"/>
    <w:rsid w:val="001E1121"/>
    <w:rsid w:val="001E1B1A"/>
    <w:rsid w:val="001E1C64"/>
    <w:rsid w:val="001E4137"/>
    <w:rsid w:val="001E556F"/>
    <w:rsid w:val="001E6A30"/>
    <w:rsid w:val="001F0FFB"/>
    <w:rsid w:val="001F12FE"/>
    <w:rsid w:val="001F2055"/>
    <w:rsid w:val="001F27D3"/>
    <w:rsid w:val="001F4DDF"/>
    <w:rsid w:val="001F6BCA"/>
    <w:rsid w:val="001F6C27"/>
    <w:rsid w:val="002000C1"/>
    <w:rsid w:val="002006A0"/>
    <w:rsid w:val="0020269A"/>
    <w:rsid w:val="00202AFE"/>
    <w:rsid w:val="0020320E"/>
    <w:rsid w:val="0020322B"/>
    <w:rsid w:val="002035B5"/>
    <w:rsid w:val="00203F75"/>
    <w:rsid w:val="0020426A"/>
    <w:rsid w:val="00205BDB"/>
    <w:rsid w:val="00206237"/>
    <w:rsid w:val="00206C18"/>
    <w:rsid w:val="0021176C"/>
    <w:rsid w:val="00213782"/>
    <w:rsid w:val="0021474C"/>
    <w:rsid w:val="00216074"/>
    <w:rsid w:val="00216243"/>
    <w:rsid w:val="002176BE"/>
    <w:rsid w:val="002177CC"/>
    <w:rsid w:val="00220B78"/>
    <w:rsid w:val="00220C11"/>
    <w:rsid w:val="002221AE"/>
    <w:rsid w:val="00222367"/>
    <w:rsid w:val="00224A5F"/>
    <w:rsid w:val="002266DE"/>
    <w:rsid w:val="00226E59"/>
    <w:rsid w:val="0023033D"/>
    <w:rsid w:val="002306D6"/>
    <w:rsid w:val="00232264"/>
    <w:rsid w:val="002328A5"/>
    <w:rsid w:val="00232BAF"/>
    <w:rsid w:val="00233484"/>
    <w:rsid w:val="00233A92"/>
    <w:rsid w:val="00234887"/>
    <w:rsid w:val="0023561C"/>
    <w:rsid w:val="0023799A"/>
    <w:rsid w:val="0024167A"/>
    <w:rsid w:val="00241CC8"/>
    <w:rsid w:val="00242C5E"/>
    <w:rsid w:val="002454A6"/>
    <w:rsid w:val="0024703F"/>
    <w:rsid w:val="00247EDF"/>
    <w:rsid w:val="00247F02"/>
    <w:rsid w:val="0025564A"/>
    <w:rsid w:val="002569FE"/>
    <w:rsid w:val="00256F7C"/>
    <w:rsid w:val="00261B48"/>
    <w:rsid w:val="00263E2D"/>
    <w:rsid w:val="0027025E"/>
    <w:rsid w:val="00271007"/>
    <w:rsid w:val="002729C4"/>
    <w:rsid w:val="00272B4A"/>
    <w:rsid w:val="00273D4C"/>
    <w:rsid w:val="002769FE"/>
    <w:rsid w:val="0027724F"/>
    <w:rsid w:val="002808E7"/>
    <w:rsid w:val="00280F99"/>
    <w:rsid w:val="0028197F"/>
    <w:rsid w:val="00281A23"/>
    <w:rsid w:val="00281BA9"/>
    <w:rsid w:val="00284121"/>
    <w:rsid w:val="00284625"/>
    <w:rsid w:val="00285660"/>
    <w:rsid w:val="00285ADD"/>
    <w:rsid w:val="0028668F"/>
    <w:rsid w:val="00286CB4"/>
    <w:rsid w:val="00286D80"/>
    <w:rsid w:val="00290FFF"/>
    <w:rsid w:val="002914C0"/>
    <w:rsid w:val="00291785"/>
    <w:rsid w:val="00291BDA"/>
    <w:rsid w:val="00293783"/>
    <w:rsid w:val="00294350"/>
    <w:rsid w:val="0029713C"/>
    <w:rsid w:val="002A1091"/>
    <w:rsid w:val="002A1585"/>
    <w:rsid w:val="002A1798"/>
    <w:rsid w:val="002A2749"/>
    <w:rsid w:val="002A3F8E"/>
    <w:rsid w:val="002A48EF"/>
    <w:rsid w:val="002B04C4"/>
    <w:rsid w:val="002B170A"/>
    <w:rsid w:val="002B1E8C"/>
    <w:rsid w:val="002B20CD"/>
    <w:rsid w:val="002B2856"/>
    <w:rsid w:val="002B2E55"/>
    <w:rsid w:val="002B3042"/>
    <w:rsid w:val="002B3487"/>
    <w:rsid w:val="002B428A"/>
    <w:rsid w:val="002B5483"/>
    <w:rsid w:val="002B6A6F"/>
    <w:rsid w:val="002B745F"/>
    <w:rsid w:val="002C233C"/>
    <w:rsid w:val="002C270B"/>
    <w:rsid w:val="002C3403"/>
    <w:rsid w:val="002C400A"/>
    <w:rsid w:val="002C424A"/>
    <w:rsid w:val="002C4F75"/>
    <w:rsid w:val="002C58A2"/>
    <w:rsid w:val="002C79A9"/>
    <w:rsid w:val="002D0CE5"/>
    <w:rsid w:val="002D23C3"/>
    <w:rsid w:val="002D26E4"/>
    <w:rsid w:val="002D4628"/>
    <w:rsid w:val="002D5C0C"/>
    <w:rsid w:val="002E0E8F"/>
    <w:rsid w:val="002E559D"/>
    <w:rsid w:val="002E580B"/>
    <w:rsid w:val="002E67E6"/>
    <w:rsid w:val="002E6FE3"/>
    <w:rsid w:val="002F0F75"/>
    <w:rsid w:val="002F1090"/>
    <w:rsid w:val="002F3F0C"/>
    <w:rsid w:val="002F65B9"/>
    <w:rsid w:val="003013ED"/>
    <w:rsid w:val="0030161D"/>
    <w:rsid w:val="00303317"/>
    <w:rsid w:val="003035EF"/>
    <w:rsid w:val="00303A41"/>
    <w:rsid w:val="00303D5B"/>
    <w:rsid w:val="003041F2"/>
    <w:rsid w:val="0030554A"/>
    <w:rsid w:val="00305798"/>
    <w:rsid w:val="00306044"/>
    <w:rsid w:val="00310033"/>
    <w:rsid w:val="00311C45"/>
    <w:rsid w:val="00311FE2"/>
    <w:rsid w:val="003127A0"/>
    <w:rsid w:val="003131A8"/>
    <w:rsid w:val="0031351D"/>
    <w:rsid w:val="00315BA1"/>
    <w:rsid w:val="00315D4E"/>
    <w:rsid w:val="003200BC"/>
    <w:rsid w:val="0032255D"/>
    <w:rsid w:val="00325D6E"/>
    <w:rsid w:val="00327CCD"/>
    <w:rsid w:val="003306D3"/>
    <w:rsid w:val="00331391"/>
    <w:rsid w:val="003314CB"/>
    <w:rsid w:val="0033182B"/>
    <w:rsid w:val="00332664"/>
    <w:rsid w:val="003326EC"/>
    <w:rsid w:val="00333238"/>
    <w:rsid w:val="00333D6E"/>
    <w:rsid w:val="00333DCC"/>
    <w:rsid w:val="00335CAC"/>
    <w:rsid w:val="003379FB"/>
    <w:rsid w:val="00337AB7"/>
    <w:rsid w:val="003401C9"/>
    <w:rsid w:val="00341383"/>
    <w:rsid w:val="00343796"/>
    <w:rsid w:val="00343AAA"/>
    <w:rsid w:val="00344114"/>
    <w:rsid w:val="0034453D"/>
    <w:rsid w:val="00345148"/>
    <w:rsid w:val="00345560"/>
    <w:rsid w:val="00346953"/>
    <w:rsid w:val="00350534"/>
    <w:rsid w:val="003542FA"/>
    <w:rsid w:val="003553BB"/>
    <w:rsid w:val="003554F4"/>
    <w:rsid w:val="00356D8E"/>
    <w:rsid w:val="00357677"/>
    <w:rsid w:val="003606CB"/>
    <w:rsid w:val="00361891"/>
    <w:rsid w:val="00362BC6"/>
    <w:rsid w:val="003632DB"/>
    <w:rsid w:val="00363E2E"/>
    <w:rsid w:val="003645B6"/>
    <w:rsid w:val="003649C9"/>
    <w:rsid w:val="00365B06"/>
    <w:rsid w:val="00365C8A"/>
    <w:rsid w:val="0036677D"/>
    <w:rsid w:val="00367639"/>
    <w:rsid w:val="003708BF"/>
    <w:rsid w:val="00370F1E"/>
    <w:rsid w:val="00371147"/>
    <w:rsid w:val="00371382"/>
    <w:rsid w:val="0037309C"/>
    <w:rsid w:val="00373766"/>
    <w:rsid w:val="00373E75"/>
    <w:rsid w:val="00374F85"/>
    <w:rsid w:val="0037697C"/>
    <w:rsid w:val="00377003"/>
    <w:rsid w:val="00377C65"/>
    <w:rsid w:val="00380B1C"/>
    <w:rsid w:val="00380C5A"/>
    <w:rsid w:val="0038116F"/>
    <w:rsid w:val="00382C19"/>
    <w:rsid w:val="003833AF"/>
    <w:rsid w:val="00384426"/>
    <w:rsid w:val="0038469B"/>
    <w:rsid w:val="00384817"/>
    <w:rsid w:val="00384C34"/>
    <w:rsid w:val="00385741"/>
    <w:rsid w:val="00386667"/>
    <w:rsid w:val="00386C24"/>
    <w:rsid w:val="00387212"/>
    <w:rsid w:val="00390480"/>
    <w:rsid w:val="003909A9"/>
    <w:rsid w:val="0039112D"/>
    <w:rsid w:val="00391EAD"/>
    <w:rsid w:val="00392249"/>
    <w:rsid w:val="003923D7"/>
    <w:rsid w:val="00393101"/>
    <w:rsid w:val="0039310C"/>
    <w:rsid w:val="00393A77"/>
    <w:rsid w:val="0039444F"/>
    <w:rsid w:val="00394456"/>
    <w:rsid w:val="00395955"/>
    <w:rsid w:val="00396F39"/>
    <w:rsid w:val="00397370"/>
    <w:rsid w:val="00397B42"/>
    <w:rsid w:val="00397E7E"/>
    <w:rsid w:val="003A26B3"/>
    <w:rsid w:val="003A319B"/>
    <w:rsid w:val="003A3CB0"/>
    <w:rsid w:val="003A3D4C"/>
    <w:rsid w:val="003A4DF5"/>
    <w:rsid w:val="003A5E08"/>
    <w:rsid w:val="003A6313"/>
    <w:rsid w:val="003A6799"/>
    <w:rsid w:val="003B01FD"/>
    <w:rsid w:val="003B0733"/>
    <w:rsid w:val="003B25E2"/>
    <w:rsid w:val="003B260C"/>
    <w:rsid w:val="003B2E17"/>
    <w:rsid w:val="003B2F98"/>
    <w:rsid w:val="003B3F55"/>
    <w:rsid w:val="003B6048"/>
    <w:rsid w:val="003B62FF"/>
    <w:rsid w:val="003B6C38"/>
    <w:rsid w:val="003B7E8C"/>
    <w:rsid w:val="003C19F0"/>
    <w:rsid w:val="003C1E57"/>
    <w:rsid w:val="003C276C"/>
    <w:rsid w:val="003C33F2"/>
    <w:rsid w:val="003C3B9D"/>
    <w:rsid w:val="003C3E81"/>
    <w:rsid w:val="003C521A"/>
    <w:rsid w:val="003C56C9"/>
    <w:rsid w:val="003C5969"/>
    <w:rsid w:val="003C652F"/>
    <w:rsid w:val="003C657A"/>
    <w:rsid w:val="003C6DBD"/>
    <w:rsid w:val="003C7231"/>
    <w:rsid w:val="003C7AF3"/>
    <w:rsid w:val="003C7B0E"/>
    <w:rsid w:val="003D0053"/>
    <w:rsid w:val="003D0EC8"/>
    <w:rsid w:val="003D1060"/>
    <w:rsid w:val="003D1127"/>
    <w:rsid w:val="003D35A6"/>
    <w:rsid w:val="003D43E4"/>
    <w:rsid w:val="003D4F31"/>
    <w:rsid w:val="003D5533"/>
    <w:rsid w:val="003D5741"/>
    <w:rsid w:val="003D6244"/>
    <w:rsid w:val="003D6762"/>
    <w:rsid w:val="003D6E5B"/>
    <w:rsid w:val="003D7063"/>
    <w:rsid w:val="003E18A8"/>
    <w:rsid w:val="003E26E5"/>
    <w:rsid w:val="003E272B"/>
    <w:rsid w:val="003E2984"/>
    <w:rsid w:val="003E40B0"/>
    <w:rsid w:val="003E73F5"/>
    <w:rsid w:val="003F3DC4"/>
    <w:rsid w:val="003F3E96"/>
    <w:rsid w:val="003F5255"/>
    <w:rsid w:val="003F52BB"/>
    <w:rsid w:val="003F5540"/>
    <w:rsid w:val="003F5C03"/>
    <w:rsid w:val="003F6AA0"/>
    <w:rsid w:val="003F7903"/>
    <w:rsid w:val="0040050B"/>
    <w:rsid w:val="00400E09"/>
    <w:rsid w:val="00401AD0"/>
    <w:rsid w:val="00402027"/>
    <w:rsid w:val="0040240B"/>
    <w:rsid w:val="004029BB"/>
    <w:rsid w:val="00403717"/>
    <w:rsid w:val="00404B10"/>
    <w:rsid w:val="004060FC"/>
    <w:rsid w:val="00406A29"/>
    <w:rsid w:val="00407004"/>
    <w:rsid w:val="00407A9B"/>
    <w:rsid w:val="004113AC"/>
    <w:rsid w:val="004120AD"/>
    <w:rsid w:val="0041216B"/>
    <w:rsid w:val="004141DC"/>
    <w:rsid w:val="004149A2"/>
    <w:rsid w:val="00415043"/>
    <w:rsid w:val="00415C8A"/>
    <w:rsid w:val="00415E05"/>
    <w:rsid w:val="0042109F"/>
    <w:rsid w:val="004213F0"/>
    <w:rsid w:val="00422FE9"/>
    <w:rsid w:val="0042375C"/>
    <w:rsid w:val="004243CE"/>
    <w:rsid w:val="00424797"/>
    <w:rsid w:val="00425BB1"/>
    <w:rsid w:val="00425D51"/>
    <w:rsid w:val="00426005"/>
    <w:rsid w:val="00426299"/>
    <w:rsid w:val="00426FA0"/>
    <w:rsid w:val="0043008D"/>
    <w:rsid w:val="00430D36"/>
    <w:rsid w:val="00432657"/>
    <w:rsid w:val="0043304B"/>
    <w:rsid w:val="00433326"/>
    <w:rsid w:val="00434548"/>
    <w:rsid w:val="00435092"/>
    <w:rsid w:val="0043515E"/>
    <w:rsid w:val="004361B0"/>
    <w:rsid w:val="00436AE6"/>
    <w:rsid w:val="004379CA"/>
    <w:rsid w:val="004400B7"/>
    <w:rsid w:val="00441147"/>
    <w:rsid w:val="004432AF"/>
    <w:rsid w:val="00445AEC"/>
    <w:rsid w:val="00445E07"/>
    <w:rsid w:val="00445E47"/>
    <w:rsid w:val="0044610F"/>
    <w:rsid w:val="00454F80"/>
    <w:rsid w:val="004550AC"/>
    <w:rsid w:val="004551DE"/>
    <w:rsid w:val="00455A4E"/>
    <w:rsid w:val="00455E3A"/>
    <w:rsid w:val="004578D1"/>
    <w:rsid w:val="00460061"/>
    <w:rsid w:val="004608DF"/>
    <w:rsid w:val="0046367D"/>
    <w:rsid w:val="004651ED"/>
    <w:rsid w:val="004654F0"/>
    <w:rsid w:val="0046739F"/>
    <w:rsid w:val="004676B8"/>
    <w:rsid w:val="004703BC"/>
    <w:rsid w:val="004715C8"/>
    <w:rsid w:val="00472570"/>
    <w:rsid w:val="00473F79"/>
    <w:rsid w:val="004746D0"/>
    <w:rsid w:val="00475020"/>
    <w:rsid w:val="00475408"/>
    <w:rsid w:val="004769FB"/>
    <w:rsid w:val="00476D94"/>
    <w:rsid w:val="00477EF0"/>
    <w:rsid w:val="00480089"/>
    <w:rsid w:val="00480784"/>
    <w:rsid w:val="00480E93"/>
    <w:rsid w:val="004817B4"/>
    <w:rsid w:val="00481E8F"/>
    <w:rsid w:val="0048223D"/>
    <w:rsid w:val="00482B93"/>
    <w:rsid w:val="0048374C"/>
    <w:rsid w:val="00486F7C"/>
    <w:rsid w:val="0048755C"/>
    <w:rsid w:val="0048758D"/>
    <w:rsid w:val="0048766E"/>
    <w:rsid w:val="004878FF"/>
    <w:rsid w:val="00487A2D"/>
    <w:rsid w:val="00487B0C"/>
    <w:rsid w:val="0049133F"/>
    <w:rsid w:val="00491F64"/>
    <w:rsid w:val="0049235F"/>
    <w:rsid w:val="004946E3"/>
    <w:rsid w:val="00494873"/>
    <w:rsid w:val="00497159"/>
    <w:rsid w:val="00497B98"/>
    <w:rsid w:val="00497C0B"/>
    <w:rsid w:val="004A02C8"/>
    <w:rsid w:val="004A0619"/>
    <w:rsid w:val="004A1A14"/>
    <w:rsid w:val="004A2443"/>
    <w:rsid w:val="004A2CEF"/>
    <w:rsid w:val="004A3C92"/>
    <w:rsid w:val="004A40BB"/>
    <w:rsid w:val="004A51BF"/>
    <w:rsid w:val="004A544E"/>
    <w:rsid w:val="004A60E9"/>
    <w:rsid w:val="004A69FB"/>
    <w:rsid w:val="004A732E"/>
    <w:rsid w:val="004B071E"/>
    <w:rsid w:val="004B2401"/>
    <w:rsid w:val="004B2703"/>
    <w:rsid w:val="004B291B"/>
    <w:rsid w:val="004B34E3"/>
    <w:rsid w:val="004B3A40"/>
    <w:rsid w:val="004B49D7"/>
    <w:rsid w:val="004B5040"/>
    <w:rsid w:val="004B63A8"/>
    <w:rsid w:val="004B6633"/>
    <w:rsid w:val="004B6BCF"/>
    <w:rsid w:val="004B7293"/>
    <w:rsid w:val="004B7433"/>
    <w:rsid w:val="004C0B52"/>
    <w:rsid w:val="004C2658"/>
    <w:rsid w:val="004C294B"/>
    <w:rsid w:val="004C5F8F"/>
    <w:rsid w:val="004C6FF9"/>
    <w:rsid w:val="004D0659"/>
    <w:rsid w:val="004D0676"/>
    <w:rsid w:val="004D15CA"/>
    <w:rsid w:val="004D2700"/>
    <w:rsid w:val="004D3E19"/>
    <w:rsid w:val="004D47F8"/>
    <w:rsid w:val="004D5847"/>
    <w:rsid w:val="004D64E0"/>
    <w:rsid w:val="004D7ADF"/>
    <w:rsid w:val="004E1347"/>
    <w:rsid w:val="004E1B4F"/>
    <w:rsid w:val="004E1BF7"/>
    <w:rsid w:val="004E21A3"/>
    <w:rsid w:val="004E220E"/>
    <w:rsid w:val="004E2257"/>
    <w:rsid w:val="004E281D"/>
    <w:rsid w:val="004E3110"/>
    <w:rsid w:val="004E366D"/>
    <w:rsid w:val="004E5142"/>
    <w:rsid w:val="004E58CA"/>
    <w:rsid w:val="004F0721"/>
    <w:rsid w:val="004F07FF"/>
    <w:rsid w:val="004F0F8A"/>
    <w:rsid w:val="004F21B4"/>
    <w:rsid w:val="004F2579"/>
    <w:rsid w:val="004F54D7"/>
    <w:rsid w:val="004F601F"/>
    <w:rsid w:val="004F6639"/>
    <w:rsid w:val="004F6A1A"/>
    <w:rsid w:val="004F70B1"/>
    <w:rsid w:val="00501FE1"/>
    <w:rsid w:val="0050246F"/>
    <w:rsid w:val="0050464A"/>
    <w:rsid w:val="00504BFA"/>
    <w:rsid w:val="00505ED2"/>
    <w:rsid w:val="00507B56"/>
    <w:rsid w:val="00507C3A"/>
    <w:rsid w:val="00510786"/>
    <w:rsid w:val="0051078E"/>
    <w:rsid w:val="00510B24"/>
    <w:rsid w:val="005131B1"/>
    <w:rsid w:val="005141F0"/>
    <w:rsid w:val="005166CA"/>
    <w:rsid w:val="0051700D"/>
    <w:rsid w:val="005177D3"/>
    <w:rsid w:val="005213E1"/>
    <w:rsid w:val="00521DCF"/>
    <w:rsid w:val="00521E54"/>
    <w:rsid w:val="005247CC"/>
    <w:rsid w:val="0052696C"/>
    <w:rsid w:val="00527C41"/>
    <w:rsid w:val="00532011"/>
    <w:rsid w:val="00532693"/>
    <w:rsid w:val="00532A8B"/>
    <w:rsid w:val="0053321D"/>
    <w:rsid w:val="005352AA"/>
    <w:rsid w:val="00535820"/>
    <w:rsid w:val="005361BE"/>
    <w:rsid w:val="005373BB"/>
    <w:rsid w:val="00540E14"/>
    <w:rsid w:val="0054172E"/>
    <w:rsid w:val="0054217E"/>
    <w:rsid w:val="005430C8"/>
    <w:rsid w:val="00543225"/>
    <w:rsid w:val="0054477C"/>
    <w:rsid w:val="00546DDA"/>
    <w:rsid w:val="0054778D"/>
    <w:rsid w:val="005515F3"/>
    <w:rsid w:val="0055251A"/>
    <w:rsid w:val="005532DD"/>
    <w:rsid w:val="00553B49"/>
    <w:rsid w:val="005551A9"/>
    <w:rsid w:val="0055702E"/>
    <w:rsid w:val="00557F7F"/>
    <w:rsid w:val="00560C63"/>
    <w:rsid w:val="00562601"/>
    <w:rsid w:val="005632EA"/>
    <w:rsid w:val="00563949"/>
    <w:rsid w:val="00563D01"/>
    <w:rsid w:val="00565C22"/>
    <w:rsid w:val="00565CF5"/>
    <w:rsid w:val="00566FE2"/>
    <w:rsid w:val="00571965"/>
    <w:rsid w:val="005728F4"/>
    <w:rsid w:val="00573AC4"/>
    <w:rsid w:val="005746C3"/>
    <w:rsid w:val="00574F8A"/>
    <w:rsid w:val="005759C5"/>
    <w:rsid w:val="00576630"/>
    <w:rsid w:val="005811DF"/>
    <w:rsid w:val="00581C0E"/>
    <w:rsid w:val="00583024"/>
    <w:rsid w:val="0058352D"/>
    <w:rsid w:val="00584648"/>
    <w:rsid w:val="00584D8B"/>
    <w:rsid w:val="00585CC4"/>
    <w:rsid w:val="00587151"/>
    <w:rsid w:val="00590D8A"/>
    <w:rsid w:val="005915AD"/>
    <w:rsid w:val="00592B0C"/>
    <w:rsid w:val="00592CAC"/>
    <w:rsid w:val="0059453D"/>
    <w:rsid w:val="00594D7A"/>
    <w:rsid w:val="00594DC9"/>
    <w:rsid w:val="0059662A"/>
    <w:rsid w:val="00596ECD"/>
    <w:rsid w:val="00597C70"/>
    <w:rsid w:val="005A0280"/>
    <w:rsid w:val="005A0985"/>
    <w:rsid w:val="005A0B80"/>
    <w:rsid w:val="005A13C3"/>
    <w:rsid w:val="005A255C"/>
    <w:rsid w:val="005A28F0"/>
    <w:rsid w:val="005A3036"/>
    <w:rsid w:val="005A3574"/>
    <w:rsid w:val="005A4614"/>
    <w:rsid w:val="005A4A30"/>
    <w:rsid w:val="005A6255"/>
    <w:rsid w:val="005A636C"/>
    <w:rsid w:val="005A6E75"/>
    <w:rsid w:val="005B07B3"/>
    <w:rsid w:val="005B1A60"/>
    <w:rsid w:val="005B22DA"/>
    <w:rsid w:val="005B2ED1"/>
    <w:rsid w:val="005B3591"/>
    <w:rsid w:val="005B479D"/>
    <w:rsid w:val="005B5299"/>
    <w:rsid w:val="005B7C31"/>
    <w:rsid w:val="005B7FC0"/>
    <w:rsid w:val="005C0478"/>
    <w:rsid w:val="005C12E2"/>
    <w:rsid w:val="005C2570"/>
    <w:rsid w:val="005C3ECD"/>
    <w:rsid w:val="005C476E"/>
    <w:rsid w:val="005C480A"/>
    <w:rsid w:val="005C5BAC"/>
    <w:rsid w:val="005C7A12"/>
    <w:rsid w:val="005D06A0"/>
    <w:rsid w:val="005D06D1"/>
    <w:rsid w:val="005D1112"/>
    <w:rsid w:val="005D1C70"/>
    <w:rsid w:val="005D29F2"/>
    <w:rsid w:val="005D2AFC"/>
    <w:rsid w:val="005D2D63"/>
    <w:rsid w:val="005D3133"/>
    <w:rsid w:val="005D4A9B"/>
    <w:rsid w:val="005D5C42"/>
    <w:rsid w:val="005D7466"/>
    <w:rsid w:val="005D763B"/>
    <w:rsid w:val="005E1BBC"/>
    <w:rsid w:val="005E1D7D"/>
    <w:rsid w:val="005E2F9C"/>
    <w:rsid w:val="005E561D"/>
    <w:rsid w:val="005E5F06"/>
    <w:rsid w:val="005E7959"/>
    <w:rsid w:val="005E796A"/>
    <w:rsid w:val="005E7ACD"/>
    <w:rsid w:val="005E7E27"/>
    <w:rsid w:val="005F14F6"/>
    <w:rsid w:val="005F2AFE"/>
    <w:rsid w:val="005F4179"/>
    <w:rsid w:val="005F47A0"/>
    <w:rsid w:val="005F5186"/>
    <w:rsid w:val="005F6A05"/>
    <w:rsid w:val="005F7530"/>
    <w:rsid w:val="00600C10"/>
    <w:rsid w:val="00601CC5"/>
    <w:rsid w:val="0060269B"/>
    <w:rsid w:val="00603007"/>
    <w:rsid w:val="006030B1"/>
    <w:rsid w:val="00603450"/>
    <w:rsid w:val="00603CE6"/>
    <w:rsid w:val="00604EA8"/>
    <w:rsid w:val="0060596A"/>
    <w:rsid w:val="00605F20"/>
    <w:rsid w:val="00606087"/>
    <w:rsid w:val="00606D89"/>
    <w:rsid w:val="006072C8"/>
    <w:rsid w:val="006103A0"/>
    <w:rsid w:val="00611295"/>
    <w:rsid w:val="006114C5"/>
    <w:rsid w:val="00612D0B"/>
    <w:rsid w:val="0061301A"/>
    <w:rsid w:val="00614155"/>
    <w:rsid w:val="00614710"/>
    <w:rsid w:val="00615AD6"/>
    <w:rsid w:val="00615B8A"/>
    <w:rsid w:val="00617048"/>
    <w:rsid w:val="0061721A"/>
    <w:rsid w:val="00617545"/>
    <w:rsid w:val="00620251"/>
    <w:rsid w:val="006203FA"/>
    <w:rsid w:val="00622881"/>
    <w:rsid w:val="006232B5"/>
    <w:rsid w:val="0062374D"/>
    <w:rsid w:val="006251CA"/>
    <w:rsid w:val="00626D30"/>
    <w:rsid w:val="0062727B"/>
    <w:rsid w:val="0063147B"/>
    <w:rsid w:val="00631D45"/>
    <w:rsid w:val="00632620"/>
    <w:rsid w:val="00632693"/>
    <w:rsid w:val="00632B79"/>
    <w:rsid w:val="006330DA"/>
    <w:rsid w:val="00635F83"/>
    <w:rsid w:val="006366A6"/>
    <w:rsid w:val="00636DB8"/>
    <w:rsid w:val="00636F0E"/>
    <w:rsid w:val="00637A81"/>
    <w:rsid w:val="0064021E"/>
    <w:rsid w:val="00641794"/>
    <w:rsid w:val="00642976"/>
    <w:rsid w:val="00642D37"/>
    <w:rsid w:val="00643C30"/>
    <w:rsid w:val="00646D94"/>
    <w:rsid w:val="00647E6D"/>
    <w:rsid w:val="0065097A"/>
    <w:rsid w:val="006520E8"/>
    <w:rsid w:val="00652651"/>
    <w:rsid w:val="0065287C"/>
    <w:rsid w:val="00652D5C"/>
    <w:rsid w:val="006539DF"/>
    <w:rsid w:val="00655C9A"/>
    <w:rsid w:val="00655DA7"/>
    <w:rsid w:val="00655DEF"/>
    <w:rsid w:val="00656635"/>
    <w:rsid w:val="00657515"/>
    <w:rsid w:val="00660080"/>
    <w:rsid w:val="0066089C"/>
    <w:rsid w:val="0066098D"/>
    <w:rsid w:val="00663108"/>
    <w:rsid w:val="00670228"/>
    <w:rsid w:val="00671091"/>
    <w:rsid w:val="00671375"/>
    <w:rsid w:val="00672CFB"/>
    <w:rsid w:val="00674671"/>
    <w:rsid w:val="00675055"/>
    <w:rsid w:val="006761B1"/>
    <w:rsid w:val="00676268"/>
    <w:rsid w:val="00677028"/>
    <w:rsid w:val="00680C07"/>
    <w:rsid w:val="0068118E"/>
    <w:rsid w:val="00681C4A"/>
    <w:rsid w:val="00682790"/>
    <w:rsid w:val="006838D6"/>
    <w:rsid w:val="006841EB"/>
    <w:rsid w:val="006848AA"/>
    <w:rsid w:val="006852E8"/>
    <w:rsid w:val="006866B5"/>
    <w:rsid w:val="006879C1"/>
    <w:rsid w:val="00687E43"/>
    <w:rsid w:val="00691447"/>
    <w:rsid w:val="00693483"/>
    <w:rsid w:val="00693E64"/>
    <w:rsid w:val="006942E7"/>
    <w:rsid w:val="0069616D"/>
    <w:rsid w:val="00696650"/>
    <w:rsid w:val="006966BE"/>
    <w:rsid w:val="006966CB"/>
    <w:rsid w:val="0069798F"/>
    <w:rsid w:val="006A1361"/>
    <w:rsid w:val="006A37DD"/>
    <w:rsid w:val="006A43D3"/>
    <w:rsid w:val="006A542B"/>
    <w:rsid w:val="006A557B"/>
    <w:rsid w:val="006A557E"/>
    <w:rsid w:val="006A5B3F"/>
    <w:rsid w:val="006A5D38"/>
    <w:rsid w:val="006A5D7F"/>
    <w:rsid w:val="006A64E4"/>
    <w:rsid w:val="006A78A7"/>
    <w:rsid w:val="006A78D5"/>
    <w:rsid w:val="006A79C4"/>
    <w:rsid w:val="006B0001"/>
    <w:rsid w:val="006B0285"/>
    <w:rsid w:val="006B2147"/>
    <w:rsid w:val="006B22BC"/>
    <w:rsid w:val="006B25AD"/>
    <w:rsid w:val="006B3473"/>
    <w:rsid w:val="006B34D9"/>
    <w:rsid w:val="006B3E68"/>
    <w:rsid w:val="006B42D5"/>
    <w:rsid w:val="006B5F15"/>
    <w:rsid w:val="006B713D"/>
    <w:rsid w:val="006B73D2"/>
    <w:rsid w:val="006B75A3"/>
    <w:rsid w:val="006C09D3"/>
    <w:rsid w:val="006C2851"/>
    <w:rsid w:val="006C3FD3"/>
    <w:rsid w:val="006C4A8C"/>
    <w:rsid w:val="006C4CC7"/>
    <w:rsid w:val="006C5C34"/>
    <w:rsid w:val="006C6133"/>
    <w:rsid w:val="006C6A1E"/>
    <w:rsid w:val="006D1D25"/>
    <w:rsid w:val="006D2053"/>
    <w:rsid w:val="006D35DB"/>
    <w:rsid w:val="006D36F9"/>
    <w:rsid w:val="006D3D9C"/>
    <w:rsid w:val="006D461F"/>
    <w:rsid w:val="006D4BE4"/>
    <w:rsid w:val="006D7361"/>
    <w:rsid w:val="006D75BF"/>
    <w:rsid w:val="006D7625"/>
    <w:rsid w:val="006E137E"/>
    <w:rsid w:val="006E28E5"/>
    <w:rsid w:val="006E2FB0"/>
    <w:rsid w:val="006E3951"/>
    <w:rsid w:val="006E7145"/>
    <w:rsid w:val="006E7AB2"/>
    <w:rsid w:val="006F1877"/>
    <w:rsid w:val="006F3F13"/>
    <w:rsid w:val="006F4188"/>
    <w:rsid w:val="006F5B23"/>
    <w:rsid w:val="006F5BF0"/>
    <w:rsid w:val="006F690D"/>
    <w:rsid w:val="006F71CD"/>
    <w:rsid w:val="006F76CE"/>
    <w:rsid w:val="006F7C01"/>
    <w:rsid w:val="006F7C5D"/>
    <w:rsid w:val="00701474"/>
    <w:rsid w:val="00701712"/>
    <w:rsid w:val="0070228E"/>
    <w:rsid w:val="0070261E"/>
    <w:rsid w:val="00702752"/>
    <w:rsid w:val="0070287E"/>
    <w:rsid w:val="00705A54"/>
    <w:rsid w:val="0070602C"/>
    <w:rsid w:val="0071242B"/>
    <w:rsid w:val="00712C26"/>
    <w:rsid w:val="00713011"/>
    <w:rsid w:val="007130F1"/>
    <w:rsid w:val="00713B46"/>
    <w:rsid w:val="007148CC"/>
    <w:rsid w:val="00715EF2"/>
    <w:rsid w:val="00717769"/>
    <w:rsid w:val="00717A47"/>
    <w:rsid w:val="00717CE1"/>
    <w:rsid w:val="00717D16"/>
    <w:rsid w:val="00717F19"/>
    <w:rsid w:val="00720411"/>
    <w:rsid w:val="0072093E"/>
    <w:rsid w:val="00720ED0"/>
    <w:rsid w:val="00722B22"/>
    <w:rsid w:val="00722E09"/>
    <w:rsid w:val="00723E25"/>
    <w:rsid w:val="007250A4"/>
    <w:rsid w:val="00726F7A"/>
    <w:rsid w:val="00730675"/>
    <w:rsid w:val="00730FB8"/>
    <w:rsid w:val="00732058"/>
    <w:rsid w:val="00732CFC"/>
    <w:rsid w:val="00733D02"/>
    <w:rsid w:val="00733E16"/>
    <w:rsid w:val="00733E6F"/>
    <w:rsid w:val="00736F10"/>
    <w:rsid w:val="00737819"/>
    <w:rsid w:val="007401E7"/>
    <w:rsid w:val="00741A23"/>
    <w:rsid w:val="007429C7"/>
    <w:rsid w:val="00744001"/>
    <w:rsid w:val="00745A8F"/>
    <w:rsid w:val="007469FF"/>
    <w:rsid w:val="00746C00"/>
    <w:rsid w:val="007471D2"/>
    <w:rsid w:val="00747684"/>
    <w:rsid w:val="00752090"/>
    <w:rsid w:val="00752B47"/>
    <w:rsid w:val="007555E4"/>
    <w:rsid w:val="00756892"/>
    <w:rsid w:val="00756F7B"/>
    <w:rsid w:val="00757388"/>
    <w:rsid w:val="0076074D"/>
    <w:rsid w:val="00760A3B"/>
    <w:rsid w:val="00760A58"/>
    <w:rsid w:val="007619B2"/>
    <w:rsid w:val="007627AD"/>
    <w:rsid w:val="00762B76"/>
    <w:rsid w:val="0076338A"/>
    <w:rsid w:val="00765650"/>
    <w:rsid w:val="007663E4"/>
    <w:rsid w:val="007668D6"/>
    <w:rsid w:val="00766D31"/>
    <w:rsid w:val="00770FE5"/>
    <w:rsid w:val="00771172"/>
    <w:rsid w:val="00773C35"/>
    <w:rsid w:val="0077413E"/>
    <w:rsid w:val="0077417F"/>
    <w:rsid w:val="0077541E"/>
    <w:rsid w:val="0077699A"/>
    <w:rsid w:val="00776FC7"/>
    <w:rsid w:val="0078375B"/>
    <w:rsid w:val="007839DA"/>
    <w:rsid w:val="00784AA9"/>
    <w:rsid w:val="0078652B"/>
    <w:rsid w:val="00790941"/>
    <w:rsid w:val="00791DC8"/>
    <w:rsid w:val="007922D0"/>
    <w:rsid w:val="00792C63"/>
    <w:rsid w:val="00792DC9"/>
    <w:rsid w:val="007939C0"/>
    <w:rsid w:val="00794286"/>
    <w:rsid w:val="00794FFD"/>
    <w:rsid w:val="00795640"/>
    <w:rsid w:val="00797253"/>
    <w:rsid w:val="00797D0A"/>
    <w:rsid w:val="007A1675"/>
    <w:rsid w:val="007A1BF7"/>
    <w:rsid w:val="007A43DF"/>
    <w:rsid w:val="007A4700"/>
    <w:rsid w:val="007A4950"/>
    <w:rsid w:val="007A4A23"/>
    <w:rsid w:val="007A540A"/>
    <w:rsid w:val="007A54BE"/>
    <w:rsid w:val="007A690E"/>
    <w:rsid w:val="007B0B21"/>
    <w:rsid w:val="007B0DCE"/>
    <w:rsid w:val="007B0F0C"/>
    <w:rsid w:val="007B2835"/>
    <w:rsid w:val="007B2CF3"/>
    <w:rsid w:val="007B2F23"/>
    <w:rsid w:val="007B2F4B"/>
    <w:rsid w:val="007B5EC7"/>
    <w:rsid w:val="007B602D"/>
    <w:rsid w:val="007B6102"/>
    <w:rsid w:val="007B62FB"/>
    <w:rsid w:val="007B6651"/>
    <w:rsid w:val="007B7D85"/>
    <w:rsid w:val="007C1478"/>
    <w:rsid w:val="007C2F91"/>
    <w:rsid w:val="007C721E"/>
    <w:rsid w:val="007D3F4A"/>
    <w:rsid w:val="007D5AB9"/>
    <w:rsid w:val="007D6F98"/>
    <w:rsid w:val="007D7084"/>
    <w:rsid w:val="007D78C8"/>
    <w:rsid w:val="007E0474"/>
    <w:rsid w:val="007E06CE"/>
    <w:rsid w:val="007E109D"/>
    <w:rsid w:val="007E352C"/>
    <w:rsid w:val="007E65B9"/>
    <w:rsid w:val="007E780B"/>
    <w:rsid w:val="007E7852"/>
    <w:rsid w:val="007E7E25"/>
    <w:rsid w:val="007E7F21"/>
    <w:rsid w:val="007F014F"/>
    <w:rsid w:val="007F0576"/>
    <w:rsid w:val="007F068F"/>
    <w:rsid w:val="007F0E47"/>
    <w:rsid w:val="007F293F"/>
    <w:rsid w:val="007F302A"/>
    <w:rsid w:val="007F3AA3"/>
    <w:rsid w:val="007F41DD"/>
    <w:rsid w:val="007F45DD"/>
    <w:rsid w:val="007F56AE"/>
    <w:rsid w:val="007F5857"/>
    <w:rsid w:val="007F5F33"/>
    <w:rsid w:val="007F6697"/>
    <w:rsid w:val="007F67B3"/>
    <w:rsid w:val="007F6AA7"/>
    <w:rsid w:val="007F6CE4"/>
    <w:rsid w:val="007F7784"/>
    <w:rsid w:val="007F7B03"/>
    <w:rsid w:val="007F7FA5"/>
    <w:rsid w:val="008001AE"/>
    <w:rsid w:val="00800FD2"/>
    <w:rsid w:val="00801277"/>
    <w:rsid w:val="008015A9"/>
    <w:rsid w:val="00802BA0"/>
    <w:rsid w:val="0080460B"/>
    <w:rsid w:val="00806497"/>
    <w:rsid w:val="00807CEA"/>
    <w:rsid w:val="00807F23"/>
    <w:rsid w:val="00814BB9"/>
    <w:rsid w:val="00814DC3"/>
    <w:rsid w:val="008151D3"/>
    <w:rsid w:val="008152D8"/>
    <w:rsid w:val="008157BA"/>
    <w:rsid w:val="00815856"/>
    <w:rsid w:val="0082121A"/>
    <w:rsid w:val="00821366"/>
    <w:rsid w:val="008220CF"/>
    <w:rsid w:val="008239C5"/>
    <w:rsid w:val="00824AD2"/>
    <w:rsid w:val="00830247"/>
    <w:rsid w:val="00830B24"/>
    <w:rsid w:val="008313EB"/>
    <w:rsid w:val="00831DD9"/>
    <w:rsid w:val="008344CD"/>
    <w:rsid w:val="008345F9"/>
    <w:rsid w:val="00834664"/>
    <w:rsid w:val="008352C8"/>
    <w:rsid w:val="008373B2"/>
    <w:rsid w:val="0083742B"/>
    <w:rsid w:val="00837FF1"/>
    <w:rsid w:val="00840A36"/>
    <w:rsid w:val="008412F5"/>
    <w:rsid w:val="0084136A"/>
    <w:rsid w:val="0084152D"/>
    <w:rsid w:val="0084607E"/>
    <w:rsid w:val="00846590"/>
    <w:rsid w:val="00846A16"/>
    <w:rsid w:val="00847003"/>
    <w:rsid w:val="00847590"/>
    <w:rsid w:val="00851216"/>
    <w:rsid w:val="00851AEF"/>
    <w:rsid w:val="00852575"/>
    <w:rsid w:val="0085265E"/>
    <w:rsid w:val="008528D5"/>
    <w:rsid w:val="00852C06"/>
    <w:rsid w:val="00853EE2"/>
    <w:rsid w:val="0086081D"/>
    <w:rsid w:val="00860CE4"/>
    <w:rsid w:val="00860D00"/>
    <w:rsid w:val="00861899"/>
    <w:rsid w:val="00861CFC"/>
    <w:rsid w:val="00863CDB"/>
    <w:rsid w:val="008640CF"/>
    <w:rsid w:val="00865394"/>
    <w:rsid w:val="00865983"/>
    <w:rsid w:val="008668FA"/>
    <w:rsid w:val="00866A56"/>
    <w:rsid w:val="0086768D"/>
    <w:rsid w:val="00867ADF"/>
    <w:rsid w:val="0087092E"/>
    <w:rsid w:val="00871EAA"/>
    <w:rsid w:val="00873DBE"/>
    <w:rsid w:val="00873EA2"/>
    <w:rsid w:val="00875F74"/>
    <w:rsid w:val="00881634"/>
    <w:rsid w:val="00881C3C"/>
    <w:rsid w:val="00881D10"/>
    <w:rsid w:val="00882496"/>
    <w:rsid w:val="0088251C"/>
    <w:rsid w:val="0088253A"/>
    <w:rsid w:val="0088312A"/>
    <w:rsid w:val="00884263"/>
    <w:rsid w:val="0088509D"/>
    <w:rsid w:val="00885D0A"/>
    <w:rsid w:val="00885E15"/>
    <w:rsid w:val="008865F8"/>
    <w:rsid w:val="0088685D"/>
    <w:rsid w:val="00887898"/>
    <w:rsid w:val="00887DE6"/>
    <w:rsid w:val="00887EA2"/>
    <w:rsid w:val="0089085A"/>
    <w:rsid w:val="00891089"/>
    <w:rsid w:val="00891F2A"/>
    <w:rsid w:val="00892726"/>
    <w:rsid w:val="008933F2"/>
    <w:rsid w:val="008942E0"/>
    <w:rsid w:val="00894952"/>
    <w:rsid w:val="00894AA9"/>
    <w:rsid w:val="00894AEE"/>
    <w:rsid w:val="00895858"/>
    <w:rsid w:val="00895F2C"/>
    <w:rsid w:val="008960DD"/>
    <w:rsid w:val="00896C16"/>
    <w:rsid w:val="00897211"/>
    <w:rsid w:val="0089758D"/>
    <w:rsid w:val="00897C90"/>
    <w:rsid w:val="008A0E08"/>
    <w:rsid w:val="008A1439"/>
    <w:rsid w:val="008A14F1"/>
    <w:rsid w:val="008A153A"/>
    <w:rsid w:val="008A1646"/>
    <w:rsid w:val="008A1F1B"/>
    <w:rsid w:val="008A23AF"/>
    <w:rsid w:val="008A29CA"/>
    <w:rsid w:val="008A3692"/>
    <w:rsid w:val="008A3B2B"/>
    <w:rsid w:val="008A5C9E"/>
    <w:rsid w:val="008A5FFB"/>
    <w:rsid w:val="008A641B"/>
    <w:rsid w:val="008A6E0D"/>
    <w:rsid w:val="008B04D2"/>
    <w:rsid w:val="008B0B04"/>
    <w:rsid w:val="008B14EF"/>
    <w:rsid w:val="008B2B4D"/>
    <w:rsid w:val="008B3A30"/>
    <w:rsid w:val="008B3DE8"/>
    <w:rsid w:val="008B59CB"/>
    <w:rsid w:val="008B638B"/>
    <w:rsid w:val="008B6522"/>
    <w:rsid w:val="008B6761"/>
    <w:rsid w:val="008B7E3F"/>
    <w:rsid w:val="008C14F5"/>
    <w:rsid w:val="008C3671"/>
    <w:rsid w:val="008C4D1C"/>
    <w:rsid w:val="008C5A2F"/>
    <w:rsid w:val="008C6B26"/>
    <w:rsid w:val="008C7460"/>
    <w:rsid w:val="008C7C5A"/>
    <w:rsid w:val="008D2449"/>
    <w:rsid w:val="008D2BE3"/>
    <w:rsid w:val="008D5128"/>
    <w:rsid w:val="008D56B9"/>
    <w:rsid w:val="008D57C7"/>
    <w:rsid w:val="008D6826"/>
    <w:rsid w:val="008E0AEC"/>
    <w:rsid w:val="008E1098"/>
    <w:rsid w:val="008E1A8E"/>
    <w:rsid w:val="008E2A3B"/>
    <w:rsid w:val="008E32B8"/>
    <w:rsid w:val="008E58BA"/>
    <w:rsid w:val="008E5E1F"/>
    <w:rsid w:val="008E6779"/>
    <w:rsid w:val="008F179C"/>
    <w:rsid w:val="008F1E07"/>
    <w:rsid w:val="008F4DD5"/>
    <w:rsid w:val="008F6B65"/>
    <w:rsid w:val="008F7514"/>
    <w:rsid w:val="00900F11"/>
    <w:rsid w:val="009024CD"/>
    <w:rsid w:val="009057D1"/>
    <w:rsid w:val="00905C6B"/>
    <w:rsid w:val="00905D76"/>
    <w:rsid w:val="00905D93"/>
    <w:rsid w:val="00906198"/>
    <w:rsid w:val="00910400"/>
    <w:rsid w:val="009143F8"/>
    <w:rsid w:val="0091499C"/>
    <w:rsid w:val="009204E2"/>
    <w:rsid w:val="00920C00"/>
    <w:rsid w:val="00923068"/>
    <w:rsid w:val="00923734"/>
    <w:rsid w:val="00923929"/>
    <w:rsid w:val="00923B99"/>
    <w:rsid w:val="00923BBC"/>
    <w:rsid w:val="00924664"/>
    <w:rsid w:val="00924C2B"/>
    <w:rsid w:val="00925412"/>
    <w:rsid w:val="0092553F"/>
    <w:rsid w:val="00925FA1"/>
    <w:rsid w:val="00926864"/>
    <w:rsid w:val="00927C26"/>
    <w:rsid w:val="00932A2E"/>
    <w:rsid w:val="00933345"/>
    <w:rsid w:val="009334A8"/>
    <w:rsid w:val="009351D9"/>
    <w:rsid w:val="00935E7C"/>
    <w:rsid w:val="00935EAC"/>
    <w:rsid w:val="009363DA"/>
    <w:rsid w:val="009371A0"/>
    <w:rsid w:val="00940663"/>
    <w:rsid w:val="0094144A"/>
    <w:rsid w:val="009425D6"/>
    <w:rsid w:val="00942E08"/>
    <w:rsid w:val="00942F51"/>
    <w:rsid w:val="00943878"/>
    <w:rsid w:val="00944455"/>
    <w:rsid w:val="009445A5"/>
    <w:rsid w:val="00944A5E"/>
    <w:rsid w:val="009458A6"/>
    <w:rsid w:val="00945EDC"/>
    <w:rsid w:val="009510C5"/>
    <w:rsid w:val="00951CA5"/>
    <w:rsid w:val="00951F90"/>
    <w:rsid w:val="009537DA"/>
    <w:rsid w:val="009537EA"/>
    <w:rsid w:val="00955295"/>
    <w:rsid w:val="00957B55"/>
    <w:rsid w:val="0096159C"/>
    <w:rsid w:val="0096201A"/>
    <w:rsid w:val="009621AC"/>
    <w:rsid w:val="00963ABD"/>
    <w:rsid w:val="00963E65"/>
    <w:rsid w:val="00964F3A"/>
    <w:rsid w:val="00965620"/>
    <w:rsid w:val="00967443"/>
    <w:rsid w:val="00967646"/>
    <w:rsid w:val="00967AFD"/>
    <w:rsid w:val="00972B4A"/>
    <w:rsid w:val="00973040"/>
    <w:rsid w:val="0097543B"/>
    <w:rsid w:val="00975B02"/>
    <w:rsid w:val="00976313"/>
    <w:rsid w:val="00980A7C"/>
    <w:rsid w:val="00981B12"/>
    <w:rsid w:val="0098297E"/>
    <w:rsid w:val="0098373B"/>
    <w:rsid w:val="00986A9E"/>
    <w:rsid w:val="00986FEE"/>
    <w:rsid w:val="0098771C"/>
    <w:rsid w:val="00990A1A"/>
    <w:rsid w:val="00990AE6"/>
    <w:rsid w:val="00993211"/>
    <w:rsid w:val="00994D7C"/>
    <w:rsid w:val="00996207"/>
    <w:rsid w:val="009971D3"/>
    <w:rsid w:val="009A1FFD"/>
    <w:rsid w:val="009A2447"/>
    <w:rsid w:val="009A2469"/>
    <w:rsid w:val="009A55F4"/>
    <w:rsid w:val="009B1C9B"/>
    <w:rsid w:val="009B22C7"/>
    <w:rsid w:val="009B4B25"/>
    <w:rsid w:val="009B5204"/>
    <w:rsid w:val="009B57AD"/>
    <w:rsid w:val="009B6CED"/>
    <w:rsid w:val="009C00C2"/>
    <w:rsid w:val="009C4841"/>
    <w:rsid w:val="009C48A8"/>
    <w:rsid w:val="009C4BAC"/>
    <w:rsid w:val="009C6F31"/>
    <w:rsid w:val="009C7065"/>
    <w:rsid w:val="009D0F59"/>
    <w:rsid w:val="009D2474"/>
    <w:rsid w:val="009D2A0D"/>
    <w:rsid w:val="009D3833"/>
    <w:rsid w:val="009D44A7"/>
    <w:rsid w:val="009D54B0"/>
    <w:rsid w:val="009D6109"/>
    <w:rsid w:val="009D651F"/>
    <w:rsid w:val="009D6948"/>
    <w:rsid w:val="009D7079"/>
    <w:rsid w:val="009E0E6D"/>
    <w:rsid w:val="009E1697"/>
    <w:rsid w:val="009E1763"/>
    <w:rsid w:val="009E1DB7"/>
    <w:rsid w:val="009E1E03"/>
    <w:rsid w:val="009E2D29"/>
    <w:rsid w:val="009E383B"/>
    <w:rsid w:val="009E3A3C"/>
    <w:rsid w:val="009E66F9"/>
    <w:rsid w:val="009F4778"/>
    <w:rsid w:val="009F5283"/>
    <w:rsid w:val="009F7576"/>
    <w:rsid w:val="00A001D9"/>
    <w:rsid w:val="00A0300F"/>
    <w:rsid w:val="00A0452E"/>
    <w:rsid w:val="00A055FC"/>
    <w:rsid w:val="00A06428"/>
    <w:rsid w:val="00A0732B"/>
    <w:rsid w:val="00A10217"/>
    <w:rsid w:val="00A1051C"/>
    <w:rsid w:val="00A1520F"/>
    <w:rsid w:val="00A154B7"/>
    <w:rsid w:val="00A15B3D"/>
    <w:rsid w:val="00A16236"/>
    <w:rsid w:val="00A16928"/>
    <w:rsid w:val="00A1709C"/>
    <w:rsid w:val="00A17A7A"/>
    <w:rsid w:val="00A219EB"/>
    <w:rsid w:val="00A238C7"/>
    <w:rsid w:val="00A252C7"/>
    <w:rsid w:val="00A25C69"/>
    <w:rsid w:val="00A27DC6"/>
    <w:rsid w:val="00A308B0"/>
    <w:rsid w:val="00A30B78"/>
    <w:rsid w:val="00A30F87"/>
    <w:rsid w:val="00A31186"/>
    <w:rsid w:val="00A31486"/>
    <w:rsid w:val="00A32503"/>
    <w:rsid w:val="00A331E4"/>
    <w:rsid w:val="00A33987"/>
    <w:rsid w:val="00A3562F"/>
    <w:rsid w:val="00A357E4"/>
    <w:rsid w:val="00A36488"/>
    <w:rsid w:val="00A36C48"/>
    <w:rsid w:val="00A40AF7"/>
    <w:rsid w:val="00A416B5"/>
    <w:rsid w:val="00A4252A"/>
    <w:rsid w:val="00A43FE6"/>
    <w:rsid w:val="00A43FFA"/>
    <w:rsid w:val="00A447B3"/>
    <w:rsid w:val="00A506CE"/>
    <w:rsid w:val="00A51583"/>
    <w:rsid w:val="00A51839"/>
    <w:rsid w:val="00A52130"/>
    <w:rsid w:val="00A53D20"/>
    <w:rsid w:val="00A54FD5"/>
    <w:rsid w:val="00A557EB"/>
    <w:rsid w:val="00A56555"/>
    <w:rsid w:val="00A5657D"/>
    <w:rsid w:val="00A5750B"/>
    <w:rsid w:val="00A60D23"/>
    <w:rsid w:val="00A60D2F"/>
    <w:rsid w:val="00A6308D"/>
    <w:rsid w:val="00A65ABD"/>
    <w:rsid w:val="00A66A3E"/>
    <w:rsid w:val="00A7086E"/>
    <w:rsid w:val="00A7160C"/>
    <w:rsid w:val="00A72A37"/>
    <w:rsid w:val="00A72B6D"/>
    <w:rsid w:val="00A746D8"/>
    <w:rsid w:val="00A74897"/>
    <w:rsid w:val="00A776EC"/>
    <w:rsid w:val="00A80FA7"/>
    <w:rsid w:val="00A827D0"/>
    <w:rsid w:val="00A834EB"/>
    <w:rsid w:val="00A8422E"/>
    <w:rsid w:val="00A843DC"/>
    <w:rsid w:val="00A84621"/>
    <w:rsid w:val="00A84750"/>
    <w:rsid w:val="00A86138"/>
    <w:rsid w:val="00A86537"/>
    <w:rsid w:val="00A86D01"/>
    <w:rsid w:val="00A90583"/>
    <w:rsid w:val="00A91644"/>
    <w:rsid w:val="00A91E88"/>
    <w:rsid w:val="00A927D6"/>
    <w:rsid w:val="00A92DF0"/>
    <w:rsid w:val="00A9353C"/>
    <w:rsid w:val="00A9562A"/>
    <w:rsid w:val="00A95F5E"/>
    <w:rsid w:val="00A97277"/>
    <w:rsid w:val="00A9797F"/>
    <w:rsid w:val="00AA0F5F"/>
    <w:rsid w:val="00AA335E"/>
    <w:rsid w:val="00AA3938"/>
    <w:rsid w:val="00AA583E"/>
    <w:rsid w:val="00AA6A2A"/>
    <w:rsid w:val="00AB0229"/>
    <w:rsid w:val="00AB10B2"/>
    <w:rsid w:val="00AB11CA"/>
    <w:rsid w:val="00AB1B99"/>
    <w:rsid w:val="00AB237F"/>
    <w:rsid w:val="00AB29CD"/>
    <w:rsid w:val="00AB2CF5"/>
    <w:rsid w:val="00AB6171"/>
    <w:rsid w:val="00AB7E10"/>
    <w:rsid w:val="00AC1190"/>
    <w:rsid w:val="00AC21AF"/>
    <w:rsid w:val="00AC239E"/>
    <w:rsid w:val="00AC2638"/>
    <w:rsid w:val="00AC2B6C"/>
    <w:rsid w:val="00AC3254"/>
    <w:rsid w:val="00AC3883"/>
    <w:rsid w:val="00AC4453"/>
    <w:rsid w:val="00AC48B3"/>
    <w:rsid w:val="00AC617F"/>
    <w:rsid w:val="00AC6636"/>
    <w:rsid w:val="00AC67AE"/>
    <w:rsid w:val="00AC7040"/>
    <w:rsid w:val="00AD017B"/>
    <w:rsid w:val="00AD10BB"/>
    <w:rsid w:val="00AD350D"/>
    <w:rsid w:val="00AD36A5"/>
    <w:rsid w:val="00AD4BC0"/>
    <w:rsid w:val="00AD4EC4"/>
    <w:rsid w:val="00AD5525"/>
    <w:rsid w:val="00AD5B55"/>
    <w:rsid w:val="00AD5DC8"/>
    <w:rsid w:val="00AD60FE"/>
    <w:rsid w:val="00AD75C8"/>
    <w:rsid w:val="00AE13B4"/>
    <w:rsid w:val="00AE4203"/>
    <w:rsid w:val="00AE444C"/>
    <w:rsid w:val="00AE48DB"/>
    <w:rsid w:val="00AE4D6E"/>
    <w:rsid w:val="00AE6455"/>
    <w:rsid w:val="00AF0033"/>
    <w:rsid w:val="00AF0401"/>
    <w:rsid w:val="00AF05A2"/>
    <w:rsid w:val="00AF1A36"/>
    <w:rsid w:val="00AF276B"/>
    <w:rsid w:val="00AF340D"/>
    <w:rsid w:val="00AF4462"/>
    <w:rsid w:val="00AF6147"/>
    <w:rsid w:val="00AF63C4"/>
    <w:rsid w:val="00B00B38"/>
    <w:rsid w:val="00B0109C"/>
    <w:rsid w:val="00B022C2"/>
    <w:rsid w:val="00B032BC"/>
    <w:rsid w:val="00B0337A"/>
    <w:rsid w:val="00B03B9A"/>
    <w:rsid w:val="00B049EB"/>
    <w:rsid w:val="00B055B7"/>
    <w:rsid w:val="00B07B12"/>
    <w:rsid w:val="00B07C63"/>
    <w:rsid w:val="00B10FEC"/>
    <w:rsid w:val="00B11783"/>
    <w:rsid w:val="00B119AA"/>
    <w:rsid w:val="00B12279"/>
    <w:rsid w:val="00B1255D"/>
    <w:rsid w:val="00B12AC3"/>
    <w:rsid w:val="00B138D1"/>
    <w:rsid w:val="00B13D1B"/>
    <w:rsid w:val="00B2008D"/>
    <w:rsid w:val="00B22D5B"/>
    <w:rsid w:val="00B26DB2"/>
    <w:rsid w:val="00B27186"/>
    <w:rsid w:val="00B27885"/>
    <w:rsid w:val="00B3162D"/>
    <w:rsid w:val="00B323BE"/>
    <w:rsid w:val="00B32BA6"/>
    <w:rsid w:val="00B32DC9"/>
    <w:rsid w:val="00B35E81"/>
    <w:rsid w:val="00B40A4C"/>
    <w:rsid w:val="00B41288"/>
    <w:rsid w:val="00B42B8E"/>
    <w:rsid w:val="00B43163"/>
    <w:rsid w:val="00B43E38"/>
    <w:rsid w:val="00B457E5"/>
    <w:rsid w:val="00B45F9A"/>
    <w:rsid w:val="00B469EB"/>
    <w:rsid w:val="00B52BB8"/>
    <w:rsid w:val="00B52BD9"/>
    <w:rsid w:val="00B5340E"/>
    <w:rsid w:val="00B55B48"/>
    <w:rsid w:val="00B57E08"/>
    <w:rsid w:val="00B601DD"/>
    <w:rsid w:val="00B60F1A"/>
    <w:rsid w:val="00B617C1"/>
    <w:rsid w:val="00B625AE"/>
    <w:rsid w:val="00B632AF"/>
    <w:rsid w:val="00B63F14"/>
    <w:rsid w:val="00B6633C"/>
    <w:rsid w:val="00B6642F"/>
    <w:rsid w:val="00B669D2"/>
    <w:rsid w:val="00B7039D"/>
    <w:rsid w:val="00B72F27"/>
    <w:rsid w:val="00B73EFF"/>
    <w:rsid w:val="00B7583D"/>
    <w:rsid w:val="00B75BFE"/>
    <w:rsid w:val="00B75C79"/>
    <w:rsid w:val="00B76032"/>
    <w:rsid w:val="00B76308"/>
    <w:rsid w:val="00B765D5"/>
    <w:rsid w:val="00B76E28"/>
    <w:rsid w:val="00B80030"/>
    <w:rsid w:val="00B80A69"/>
    <w:rsid w:val="00B83957"/>
    <w:rsid w:val="00B86983"/>
    <w:rsid w:val="00B90013"/>
    <w:rsid w:val="00B91194"/>
    <w:rsid w:val="00B96B20"/>
    <w:rsid w:val="00B96CD7"/>
    <w:rsid w:val="00BA027E"/>
    <w:rsid w:val="00BA1914"/>
    <w:rsid w:val="00BA340D"/>
    <w:rsid w:val="00BA3909"/>
    <w:rsid w:val="00BA4E6D"/>
    <w:rsid w:val="00BA4ECA"/>
    <w:rsid w:val="00BA6751"/>
    <w:rsid w:val="00BA7E36"/>
    <w:rsid w:val="00BB1073"/>
    <w:rsid w:val="00BB1133"/>
    <w:rsid w:val="00BB221D"/>
    <w:rsid w:val="00BB2DFD"/>
    <w:rsid w:val="00BB33EC"/>
    <w:rsid w:val="00BB5575"/>
    <w:rsid w:val="00BB5C2B"/>
    <w:rsid w:val="00BB6651"/>
    <w:rsid w:val="00BC0EC8"/>
    <w:rsid w:val="00BC1394"/>
    <w:rsid w:val="00BC1BE0"/>
    <w:rsid w:val="00BC1DEF"/>
    <w:rsid w:val="00BC2664"/>
    <w:rsid w:val="00BC312F"/>
    <w:rsid w:val="00BC3A4A"/>
    <w:rsid w:val="00BC5FDA"/>
    <w:rsid w:val="00BC652F"/>
    <w:rsid w:val="00BC7273"/>
    <w:rsid w:val="00BD0110"/>
    <w:rsid w:val="00BD013B"/>
    <w:rsid w:val="00BD052F"/>
    <w:rsid w:val="00BD328D"/>
    <w:rsid w:val="00BD362D"/>
    <w:rsid w:val="00BD3846"/>
    <w:rsid w:val="00BD3ABC"/>
    <w:rsid w:val="00BD3F65"/>
    <w:rsid w:val="00BD5CF8"/>
    <w:rsid w:val="00BD6AFE"/>
    <w:rsid w:val="00BD6CB1"/>
    <w:rsid w:val="00BD6D81"/>
    <w:rsid w:val="00BD6D85"/>
    <w:rsid w:val="00BE09DB"/>
    <w:rsid w:val="00BE0E23"/>
    <w:rsid w:val="00BE1CBC"/>
    <w:rsid w:val="00BE223D"/>
    <w:rsid w:val="00BE434F"/>
    <w:rsid w:val="00BE6754"/>
    <w:rsid w:val="00BE7218"/>
    <w:rsid w:val="00BF00E3"/>
    <w:rsid w:val="00BF0E10"/>
    <w:rsid w:val="00BF1FFD"/>
    <w:rsid w:val="00BF28D8"/>
    <w:rsid w:val="00BF2BBD"/>
    <w:rsid w:val="00BF3A4F"/>
    <w:rsid w:val="00BF3E7D"/>
    <w:rsid w:val="00BF4ECB"/>
    <w:rsid w:val="00BF5BCF"/>
    <w:rsid w:val="00BF60F3"/>
    <w:rsid w:val="00BF74CD"/>
    <w:rsid w:val="00BF7841"/>
    <w:rsid w:val="00BF794A"/>
    <w:rsid w:val="00BF7BB2"/>
    <w:rsid w:val="00C00BB6"/>
    <w:rsid w:val="00C00EAD"/>
    <w:rsid w:val="00C01979"/>
    <w:rsid w:val="00C01CFF"/>
    <w:rsid w:val="00C027C9"/>
    <w:rsid w:val="00C02B1A"/>
    <w:rsid w:val="00C02DD5"/>
    <w:rsid w:val="00C0399C"/>
    <w:rsid w:val="00C03FC1"/>
    <w:rsid w:val="00C05680"/>
    <w:rsid w:val="00C056E7"/>
    <w:rsid w:val="00C05CE7"/>
    <w:rsid w:val="00C06C34"/>
    <w:rsid w:val="00C06E67"/>
    <w:rsid w:val="00C07949"/>
    <w:rsid w:val="00C11276"/>
    <w:rsid w:val="00C141B7"/>
    <w:rsid w:val="00C141CC"/>
    <w:rsid w:val="00C16057"/>
    <w:rsid w:val="00C1605D"/>
    <w:rsid w:val="00C160CB"/>
    <w:rsid w:val="00C16A1A"/>
    <w:rsid w:val="00C17E7E"/>
    <w:rsid w:val="00C2309A"/>
    <w:rsid w:val="00C24624"/>
    <w:rsid w:val="00C24CD8"/>
    <w:rsid w:val="00C26FE8"/>
    <w:rsid w:val="00C303BD"/>
    <w:rsid w:val="00C30B60"/>
    <w:rsid w:val="00C318AF"/>
    <w:rsid w:val="00C318B0"/>
    <w:rsid w:val="00C34103"/>
    <w:rsid w:val="00C34704"/>
    <w:rsid w:val="00C3584E"/>
    <w:rsid w:val="00C36B29"/>
    <w:rsid w:val="00C3735B"/>
    <w:rsid w:val="00C4234D"/>
    <w:rsid w:val="00C42CB4"/>
    <w:rsid w:val="00C43276"/>
    <w:rsid w:val="00C43521"/>
    <w:rsid w:val="00C435E7"/>
    <w:rsid w:val="00C43872"/>
    <w:rsid w:val="00C44CAC"/>
    <w:rsid w:val="00C4570C"/>
    <w:rsid w:val="00C472C9"/>
    <w:rsid w:val="00C47549"/>
    <w:rsid w:val="00C52A25"/>
    <w:rsid w:val="00C52A8D"/>
    <w:rsid w:val="00C546D3"/>
    <w:rsid w:val="00C549BE"/>
    <w:rsid w:val="00C609D6"/>
    <w:rsid w:val="00C62724"/>
    <w:rsid w:val="00C63470"/>
    <w:rsid w:val="00C63715"/>
    <w:rsid w:val="00C6621D"/>
    <w:rsid w:val="00C66F23"/>
    <w:rsid w:val="00C71DD7"/>
    <w:rsid w:val="00C73D24"/>
    <w:rsid w:val="00C74AE2"/>
    <w:rsid w:val="00C75B4F"/>
    <w:rsid w:val="00C75D1F"/>
    <w:rsid w:val="00C7644F"/>
    <w:rsid w:val="00C77A1E"/>
    <w:rsid w:val="00C8017E"/>
    <w:rsid w:val="00C8152F"/>
    <w:rsid w:val="00C81FBC"/>
    <w:rsid w:val="00C837B4"/>
    <w:rsid w:val="00C83C25"/>
    <w:rsid w:val="00C83E14"/>
    <w:rsid w:val="00C83E5D"/>
    <w:rsid w:val="00C83ED9"/>
    <w:rsid w:val="00C91CE9"/>
    <w:rsid w:val="00C9498C"/>
    <w:rsid w:val="00C94A8C"/>
    <w:rsid w:val="00C953BC"/>
    <w:rsid w:val="00CA1339"/>
    <w:rsid w:val="00CA13BD"/>
    <w:rsid w:val="00CA359D"/>
    <w:rsid w:val="00CB0BE2"/>
    <w:rsid w:val="00CB1320"/>
    <w:rsid w:val="00CB17B4"/>
    <w:rsid w:val="00CB504C"/>
    <w:rsid w:val="00CB545E"/>
    <w:rsid w:val="00CC17B4"/>
    <w:rsid w:val="00CC227A"/>
    <w:rsid w:val="00CC3244"/>
    <w:rsid w:val="00CC51B4"/>
    <w:rsid w:val="00CC6B76"/>
    <w:rsid w:val="00CC7F52"/>
    <w:rsid w:val="00CD0401"/>
    <w:rsid w:val="00CD0835"/>
    <w:rsid w:val="00CD1826"/>
    <w:rsid w:val="00CD2E2E"/>
    <w:rsid w:val="00CD2F6B"/>
    <w:rsid w:val="00CD34A8"/>
    <w:rsid w:val="00CD36FF"/>
    <w:rsid w:val="00CD6231"/>
    <w:rsid w:val="00CD6A1B"/>
    <w:rsid w:val="00CD6BB0"/>
    <w:rsid w:val="00CD7342"/>
    <w:rsid w:val="00CD7863"/>
    <w:rsid w:val="00CE12E2"/>
    <w:rsid w:val="00CE1B1E"/>
    <w:rsid w:val="00CE247C"/>
    <w:rsid w:val="00CE37BB"/>
    <w:rsid w:val="00CE4395"/>
    <w:rsid w:val="00CE617C"/>
    <w:rsid w:val="00CE6509"/>
    <w:rsid w:val="00CE6C9F"/>
    <w:rsid w:val="00CE7622"/>
    <w:rsid w:val="00CF0403"/>
    <w:rsid w:val="00CF2850"/>
    <w:rsid w:val="00CF2EC5"/>
    <w:rsid w:val="00CF4982"/>
    <w:rsid w:val="00CF4B49"/>
    <w:rsid w:val="00CF7D31"/>
    <w:rsid w:val="00CF7E78"/>
    <w:rsid w:val="00D0188F"/>
    <w:rsid w:val="00D018FC"/>
    <w:rsid w:val="00D03100"/>
    <w:rsid w:val="00D04A0D"/>
    <w:rsid w:val="00D0512E"/>
    <w:rsid w:val="00D0583A"/>
    <w:rsid w:val="00D100EE"/>
    <w:rsid w:val="00D1077A"/>
    <w:rsid w:val="00D110CE"/>
    <w:rsid w:val="00D143BC"/>
    <w:rsid w:val="00D168F1"/>
    <w:rsid w:val="00D16E7F"/>
    <w:rsid w:val="00D16F43"/>
    <w:rsid w:val="00D17B37"/>
    <w:rsid w:val="00D2240C"/>
    <w:rsid w:val="00D22755"/>
    <w:rsid w:val="00D23296"/>
    <w:rsid w:val="00D2352F"/>
    <w:rsid w:val="00D24259"/>
    <w:rsid w:val="00D24292"/>
    <w:rsid w:val="00D24EBF"/>
    <w:rsid w:val="00D2539B"/>
    <w:rsid w:val="00D25FC5"/>
    <w:rsid w:val="00D300A8"/>
    <w:rsid w:val="00D30CFD"/>
    <w:rsid w:val="00D31EE6"/>
    <w:rsid w:val="00D32E2F"/>
    <w:rsid w:val="00D33D1E"/>
    <w:rsid w:val="00D375AD"/>
    <w:rsid w:val="00D40278"/>
    <w:rsid w:val="00D41B9F"/>
    <w:rsid w:val="00D422F4"/>
    <w:rsid w:val="00D42412"/>
    <w:rsid w:val="00D4376B"/>
    <w:rsid w:val="00D43B41"/>
    <w:rsid w:val="00D4457F"/>
    <w:rsid w:val="00D4472A"/>
    <w:rsid w:val="00D4483A"/>
    <w:rsid w:val="00D44CDE"/>
    <w:rsid w:val="00D45861"/>
    <w:rsid w:val="00D4604B"/>
    <w:rsid w:val="00D46F24"/>
    <w:rsid w:val="00D47D2A"/>
    <w:rsid w:val="00D507DE"/>
    <w:rsid w:val="00D51038"/>
    <w:rsid w:val="00D5108A"/>
    <w:rsid w:val="00D514CF"/>
    <w:rsid w:val="00D51724"/>
    <w:rsid w:val="00D5228B"/>
    <w:rsid w:val="00D522E3"/>
    <w:rsid w:val="00D53AE3"/>
    <w:rsid w:val="00D53D40"/>
    <w:rsid w:val="00D5541E"/>
    <w:rsid w:val="00D5646C"/>
    <w:rsid w:val="00D56580"/>
    <w:rsid w:val="00D56973"/>
    <w:rsid w:val="00D577EE"/>
    <w:rsid w:val="00D5795C"/>
    <w:rsid w:val="00D60B2B"/>
    <w:rsid w:val="00D61D94"/>
    <w:rsid w:val="00D61E70"/>
    <w:rsid w:val="00D624B4"/>
    <w:rsid w:val="00D6497A"/>
    <w:rsid w:val="00D65743"/>
    <w:rsid w:val="00D661D6"/>
    <w:rsid w:val="00D6623A"/>
    <w:rsid w:val="00D6645F"/>
    <w:rsid w:val="00D67A48"/>
    <w:rsid w:val="00D7079B"/>
    <w:rsid w:val="00D71676"/>
    <w:rsid w:val="00D72D75"/>
    <w:rsid w:val="00D731C0"/>
    <w:rsid w:val="00D73221"/>
    <w:rsid w:val="00D7385C"/>
    <w:rsid w:val="00D73CB1"/>
    <w:rsid w:val="00D73CEB"/>
    <w:rsid w:val="00D7409B"/>
    <w:rsid w:val="00D75969"/>
    <w:rsid w:val="00D76645"/>
    <w:rsid w:val="00D769A8"/>
    <w:rsid w:val="00D76E17"/>
    <w:rsid w:val="00D77F63"/>
    <w:rsid w:val="00D80218"/>
    <w:rsid w:val="00D80AA1"/>
    <w:rsid w:val="00D8111F"/>
    <w:rsid w:val="00D81848"/>
    <w:rsid w:val="00D839A7"/>
    <w:rsid w:val="00D843A8"/>
    <w:rsid w:val="00D8490E"/>
    <w:rsid w:val="00D85307"/>
    <w:rsid w:val="00D8561E"/>
    <w:rsid w:val="00D85946"/>
    <w:rsid w:val="00D86F0C"/>
    <w:rsid w:val="00D9074E"/>
    <w:rsid w:val="00D907FC"/>
    <w:rsid w:val="00D91506"/>
    <w:rsid w:val="00D92153"/>
    <w:rsid w:val="00D93EE2"/>
    <w:rsid w:val="00D95614"/>
    <w:rsid w:val="00D95C0E"/>
    <w:rsid w:val="00D95EA0"/>
    <w:rsid w:val="00D96807"/>
    <w:rsid w:val="00D96A3E"/>
    <w:rsid w:val="00D97479"/>
    <w:rsid w:val="00D97526"/>
    <w:rsid w:val="00D97F2C"/>
    <w:rsid w:val="00DA00C6"/>
    <w:rsid w:val="00DA13EC"/>
    <w:rsid w:val="00DA22E5"/>
    <w:rsid w:val="00DA4A52"/>
    <w:rsid w:val="00DA4FC3"/>
    <w:rsid w:val="00DA59A4"/>
    <w:rsid w:val="00DA5ACC"/>
    <w:rsid w:val="00DA5FEC"/>
    <w:rsid w:val="00DA6243"/>
    <w:rsid w:val="00DA65B1"/>
    <w:rsid w:val="00DA6951"/>
    <w:rsid w:val="00DA6A1F"/>
    <w:rsid w:val="00DA7373"/>
    <w:rsid w:val="00DB284F"/>
    <w:rsid w:val="00DB3BD1"/>
    <w:rsid w:val="00DB49B0"/>
    <w:rsid w:val="00DB5082"/>
    <w:rsid w:val="00DB6D01"/>
    <w:rsid w:val="00DB70F0"/>
    <w:rsid w:val="00DC0715"/>
    <w:rsid w:val="00DC0F65"/>
    <w:rsid w:val="00DC11BF"/>
    <w:rsid w:val="00DC1256"/>
    <w:rsid w:val="00DC1794"/>
    <w:rsid w:val="00DC28E2"/>
    <w:rsid w:val="00DC446B"/>
    <w:rsid w:val="00DC4E52"/>
    <w:rsid w:val="00DC7984"/>
    <w:rsid w:val="00DD0524"/>
    <w:rsid w:val="00DD0FC0"/>
    <w:rsid w:val="00DD1402"/>
    <w:rsid w:val="00DD1C88"/>
    <w:rsid w:val="00DD295A"/>
    <w:rsid w:val="00DD507F"/>
    <w:rsid w:val="00DD7B46"/>
    <w:rsid w:val="00DE0517"/>
    <w:rsid w:val="00DE1CE4"/>
    <w:rsid w:val="00DE2EF5"/>
    <w:rsid w:val="00DE31B4"/>
    <w:rsid w:val="00DE39D7"/>
    <w:rsid w:val="00DE406F"/>
    <w:rsid w:val="00DE4C52"/>
    <w:rsid w:val="00DE51A6"/>
    <w:rsid w:val="00DE51B6"/>
    <w:rsid w:val="00DE570E"/>
    <w:rsid w:val="00DE65D5"/>
    <w:rsid w:val="00DE6E34"/>
    <w:rsid w:val="00DF0ACE"/>
    <w:rsid w:val="00DF0D20"/>
    <w:rsid w:val="00DF20FA"/>
    <w:rsid w:val="00DF2406"/>
    <w:rsid w:val="00DF3263"/>
    <w:rsid w:val="00DF32CC"/>
    <w:rsid w:val="00DF38A7"/>
    <w:rsid w:val="00DF3BC3"/>
    <w:rsid w:val="00DF3D8B"/>
    <w:rsid w:val="00DF4218"/>
    <w:rsid w:val="00DF4B6E"/>
    <w:rsid w:val="00DF6E5D"/>
    <w:rsid w:val="00DF7C20"/>
    <w:rsid w:val="00E01FF8"/>
    <w:rsid w:val="00E02F29"/>
    <w:rsid w:val="00E032C0"/>
    <w:rsid w:val="00E03545"/>
    <w:rsid w:val="00E03A9E"/>
    <w:rsid w:val="00E040A6"/>
    <w:rsid w:val="00E040C7"/>
    <w:rsid w:val="00E04302"/>
    <w:rsid w:val="00E0431D"/>
    <w:rsid w:val="00E04653"/>
    <w:rsid w:val="00E05F5C"/>
    <w:rsid w:val="00E06C87"/>
    <w:rsid w:val="00E100D6"/>
    <w:rsid w:val="00E1142A"/>
    <w:rsid w:val="00E12FAF"/>
    <w:rsid w:val="00E13E0D"/>
    <w:rsid w:val="00E14280"/>
    <w:rsid w:val="00E22EBD"/>
    <w:rsid w:val="00E23E64"/>
    <w:rsid w:val="00E24314"/>
    <w:rsid w:val="00E2444F"/>
    <w:rsid w:val="00E24C6F"/>
    <w:rsid w:val="00E2525A"/>
    <w:rsid w:val="00E252D6"/>
    <w:rsid w:val="00E25579"/>
    <w:rsid w:val="00E27613"/>
    <w:rsid w:val="00E27C31"/>
    <w:rsid w:val="00E27EDC"/>
    <w:rsid w:val="00E30718"/>
    <w:rsid w:val="00E3077A"/>
    <w:rsid w:val="00E3140A"/>
    <w:rsid w:val="00E31903"/>
    <w:rsid w:val="00E31BC4"/>
    <w:rsid w:val="00E322BD"/>
    <w:rsid w:val="00E3467D"/>
    <w:rsid w:val="00E35CBB"/>
    <w:rsid w:val="00E409A5"/>
    <w:rsid w:val="00E42074"/>
    <w:rsid w:val="00E42E71"/>
    <w:rsid w:val="00E4372C"/>
    <w:rsid w:val="00E4552D"/>
    <w:rsid w:val="00E471A9"/>
    <w:rsid w:val="00E501FE"/>
    <w:rsid w:val="00E50E54"/>
    <w:rsid w:val="00E52C1D"/>
    <w:rsid w:val="00E532A5"/>
    <w:rsid w:val="00E535F7"/>
    <w:rsid w:val="00E55259"/>
    <w:rsid w:val="00E556A8"/>
    <w:rsid w:val="00E5656E"/>
    <w:rsid w:val="00E5671A"/>
    <w:rsid w:val="00E57DE9"/>
    <w:rsid w:val="00E61804"/>
    <w:rsid w:val="00E6302F"/>
    <w:rsid w:val="00E63E90"/>
    <w:rsid w:val="00E64157"/>
    <w:rsid w:val="00E643A2"/>
    <w:rsid w:val="00E65A60"/>
    <w:rsid w:val="00E65DC8"/>
    <w:rsid w:val="00E71364"/>
    <w:rsid w:val="00E7215B"/>
    <w:rsid w:val="00E72659"/>
    <w:rsid w:val="00E73551"/>
    <w:rsid w:val="00E76248"/>
    <w:rsid w:val="00E76BAD"/>
    <w:rsid w:val="00E77020"/>
    <w:rsid w:val="00E77BEE"/>
    <w:rsid w:val="00E815BD"/>
    <w:rsid w:val="00E8251A"/>
    <w:rsid w:val="00E841BF"/>
    <w:rsid w:val="00E86026"/>
    <w:rsid w:val="00E8643C"/>
    <w:rsid w:val="00E867CD"/>
    <w:rsid w:val="00E86C0E"/>
    <w:rsid w:val="00E8784B"/>
    <w:rsid w:val="00E9224C"/>
    <w:rsid w:val="00E9247A"/>
    <w:rsid w:val="00E92AA9"/>
    <w:rsid w:val="00E93978"/>
    <w:rsid w:val="00E93DB6"/>
    <w:rsid w:val="00E96BCA"/>
    <w:rsid w:val="00E977A9"/>
    <w:rsid w:val="00E9794A"/>
    <w:rsid w:val="00EA18AF"/>
    <w:rsid w:val="00EA1A06"/>
    <w:rsid w:val="00EA2101"/>
    <w:rsid w:val="00EA3933"/>
    <w:rsid w:val="00EA4E0F"/>
    <w:rsid w:val="00EA66F8"/>
    <w:rsid w:val="00EA6A0B"/>
    <w:rsid w:val="00EA6F8A"/>
    <w:rsid w:val="00EB0A85"/>
    <w:rsid w:val="00EB1000"/>
    <w:rsid w:val="00EB1196"/>
    <w:rsid w:val="00EB2A89"/>
    <w:rsid w:val="00EB32C8"/>
    <w:rsid w:val="00EB3864"/>
    <w:rsid w:val="00EB4202"/>
    <w:rsid w:val="00EB59E7"/>
    <w:rsid w:val="00EB73EE"/>
    <w:rsid w:val="00EB7D5B"/>
    <w:rsid w:val="00EC0744"/>
    <w:rsid w:val="00EC08C2"/>
    <w:rsid w:val="00EC1BE8"/>
    <w:rsid w:val="00EC2A43"/>
    <w:rsid w:val="00EC562B"/>
    <w:rsid w:val="00EC6B3A"/>
    <w:rsid w:val="00ED009D"/>
    <w:rsid w:val="00ED0DAA"/>
    <w:rsid w:val="00ED0F30"/>
    <w:rsid w:val="00ED1D9F"/>
    <w:rsid w:val="00ED3DE4"/>
    <w:rsid w:val="00ED4604"/>
    <w:rsid w:val="00ED5623"/>
    <w:rsid w:val="00ED5848"/>
    <w:rsid w:val="00ED6DC7"/>
    <w:rsid w:val="00ED769C"/>
    <w:rsid w:val="00EE04CE"/>
    <w:rsid w:val="00EE073F"/>
    <w:rsid w:val="00EE2C1E"/>
    <w:rsid w:val="00EE2F45"/>
    <w:rsid w:val="00EE45B1"/>
    <w:rsid w:val="00EE5128"/>
    <w:rsid w:val="00EE65CB"/>
    <w:rsid w:val="00EE72CB"/>
    <w:rsid w:val="00EF14CC"/>
    <w:rsid w:val="00EF15EA"/>
    <w:rsid w:val="00EF202C"/>
    <w:rsid w:val="00EF3830"/>
    <w:rsid w:val="00EF42B4"/>
    <w:rsid w:val="00EF4317"/>
    <w:rsid w:val="00EF71A2"/>
    <w:rsid w:val="00EF7206"/>
    <w:rsid w:val="00F00C58"/>
    <w:rsid w:val="00F01023"/>
    <w:rsid w:val="00F01334"/>
    <w:rsid w:val="00F04B42"/>
    <w:rsid w:val="00F062C4"/>
    <w:rsid w:val="00F06461"/>
    <w:rsid w:val="00F06518"/>
    <w:rsid w:val="00F06FF0"/>
    <w:rsid w:val="00F074B0"/>
    <w:rsid w:val="00F13409"/>
    <w:rsid w:val="00F13587"/>
    <w:rsid w:val="00F1542B"/>
    <w:rsid w:val="00F15FA3"/>
    <w:rsid w:val="00F16468"/>
    <w:rsid w:val="00F16ACC"/>
    <w:rsid w:val="00F17049"/>
    <w:rsid w:val="00F17084"/>
    <w:rsid w:val="00F17BE2"/>
    <w:rsid w:val="00F21246"/>
    <w:rsid w:val="00F2152F"/>
    <w:rsid w:val="00F21769"/>
    <w:rsid w:val="00F22665"/>
    <w:rsid w:val="00F25F1A"/>
    <w:rsid w:val="00F2690C"/>
    <w:rsid w:val="00F269E7"/>
    <w:rsid w:val="00F26EA6"/>
    <w:rsid w:val="00F310CC"/>
    <w:rsid w:val="00F313C3"/>
    <w:rsid w:val="00F3223F"/>
    <w:rsid w:val="00F32C13"/>
    <w:rsid w:val="00F338FC"/>
    <w:rsid w:val="00F35931"/>
    <w:rsid w:val="00F35CE0"/>
    <w:rsid w:val="00F37BFF"/>
    <w:rsid w:val="00F42026"/>
    <w:rsid w:val="00F42BCC"/>
    <w:rsid w:val="00F43229"/>
    <w:rsid w:val="00F43CB2"/>
    <w:rsid w:val="00F50A22"/>
    <w:rsid w:val="00F50DB3"/>
    <w:rsid w:val="00F52C9B"/>
    <w:rsid w:val="00F552D1"/>
    <w:rsid w:val="00F55AE9"/>
    <w:rsid w:val="00F55EFD"/>
    <w:rsid w:val="00F57FF7"/>
    <w:rsid w:val="00F60060"/>
    <w:rsid w:val="00F611D6"/>
    <w:rsid w:val="00F61394"/>
    <w:rsid w:val="00F6146A"/>
    <w:rsid w:val="00F614C9"/>
    <w:rsid w:val="00F61883"/>
    <w:rsid w:val="00F61DA3"/>
    <w:rsid w:val="00F62DE9"/>
    <w:rsid w:val="00F64BED"/>
    <w:rsid w:val="00F64EE2"/>
    <w:rsid w:val="00F65A29"/>
    <w:rsid w:val="00F65EDE"/>
    <w:rsid w:val="00F66D18"/>
    <w:rsid w:val="00F71887"/>
    <w:rsid w:val="00F71C3A"/>
    <w:rsid w:val="00F71E2A"/>
    <w:rsid w:val="00F72C8C"/>
    <w:rsid w:val="00F73174"/>
    <w:rsid w:val="00F7408D"/>
    <w:rsid w:val="00F74400"/>
    <w:rsid w:val="00F7448C"/>
    <w:rsid w:val="00F74BE8"/>
    <w:rsid w:val="00F76544"/>
    <w:rsid w:val="00F7737E"/>
    <w:rsid w:val="00F80425"/>
    <w:rsid w:val="00F805C4"/>
    <w:rsid w:val="00F80C35"/>
    <w:rsid w:val="00F816EF"/>
    <w:rsid w:val="00F81C9E"/>
    <w:rsid w:val="00F822A3"/>
    <w:rsid w:val="00F837BA"/>
    <w:rsid w:val="00F842EE"/>
    <w:rsid w:val="00F85237"/>
    <w:rsid w:val="00F85CF0"/>
    <w:rsid w:val="00F860E8"/>
    <w:rsid w:val="00F861C5"/>
    <w:rsid w:val="00F86473"/>
    <w:rsid w:val="00F86DFA"/>
    <w:rsid w:val="00F878AF"/>
    <w:rsid w:val="00F925A3"/>
    <w:rsid w:val="00F93092"/>
    <w:rsid w:val="00F9481F"/>
    <w:rsid w:val="00F94B8D"/>
    <w:rsid w:val="00F95381"/>
    <w:rsid w:val="00F9570E"/>
    <w:rsid w:val="00F95A7A"/>
    <w:rsid w:val="00F966D1"/>
    <w:rsid w:val="00F9783D"/>
    <w:rsid w:val="00FA02F0"/>
    <w:rsid w:val="00FA0A8E"/>
    <w:rsid w:val="00FA0EB0"/>
    <w:rsid w:val="00FA10EA"/>
    <w:rsid w:val="00FA14A0"/>
    <w:rsid w:val="00FA248A"/>
    <w:rsid w:val="00FA24DC"/>
    <w:rsid w:val="00FA3BF4"/>
    <w:rsid w:val="00FA4743"/>
    <w:rsid w:val="00FA482B"/>
    <w:rsid w:val="00FA4FF7"/>
    <w:rsid w:val="00FA59CB"/>
    <w:rsid w:val="00FA5EB1"/>
    <w:rsid w:val="00FA6541"/>
    <w:rsid w:val="00FA7034"/>
    <w:rsid w:val="00FA7283"/>
    <w:rsid w:val="00FB19F0"/>
    <w:rsid w:val="00FB1A2C"/>
    <w:rsid w:val="00FB20A5"/>
    <w:rsid w:val="00FB2128"/>
    <w:rsid w:val="00FB511C"/>
    <w:rsid w:val="00FB53FE"/>
    <w:rsid w:val="00FB5590"/>
    <w:rsid w:val="00FB5D29"/>
    <w:rsid w:val="00FB634D"/>
    <w:rsid w:val="00FB6A98"/>
    <w:rsid w:val="00FB6B2A"/>
    <w:rsid w:val="00FB7D99"/>
    <w:rsid w:val="00FC06EF"/>
    <w:rsid w:val="00FC0D41"/>
    <w:rsid w:val="00FC1BD3"/>
    <w:rsid w:val="00FC2A35"/>
    <w:rsid w:val="00FC2C07"/>
    <w:rsid w:val="00FC32E5"/>
    <w:rsid w:val="00FC46E0"/>
    <w:rsid w:val="00FC4B21"/>
    <w:rsid w:val="00FC5DA7"/>
    <w:rsid w:val="00FC5DBD"/>
    <w:rsid w:val="00FC6182"/>
    <w:rsid w:val="00FC6603"/>
    <w:rsid w:val="00FC7E2E"/>
    <w:rsid w:val="00FD0063"/>
    <w:rsid w:val="00FD1A25"/>
    <w:rsid w:val="00FD2150"/>
    <w:rsid w:val="00FD3E83"/>
    <w:rsid w:val="00FD5E7F"/>
    <w:rsid w:val="00FE06AC"/>
    <w:rsid w:val="00FE07A7"/>
    <w:rsid w:val="00FE2BDF"/>
    <w:rsid w:val="00FE2E1D"/>
    <w:rsid w:val="00FE3251"/>
    <w:rsid w:val="00FE3BC2"/>
    <w:rsid w:val="00FF0C48"/>
    <w:rsid w:val="00FF3F67"/>
    <w:rsid w:val="00FF4924"/>
    <w:rsid w:val="00FF5F40"/>
    <w:rsid w:val="00FF7313"/>
    <w:rsid w:val="00FF75C7"/>
    <w:rsid w:val="01BD4A39"/>
    <w:rsid w:val="01D87F75"/>
    <w:rsid w:val="021876EC"/>
    <w:rsid w:val="031D0350"/>
    <w:rsid w:val="03432821"/>
    <w:rsid w:val="034D4FBD"/>
    <w:rsid w:val="03A138CE"/>
    <w:rsid w:val="03C5307E"/>
    <w:rsid w:val="040959F7"/>
    <w:rsid w:val="044B1342"/>
    <w:rsid w:val="04A33269"/>
    <w:rsid w:val="04D80535"/>
    <w:rsid w:val="05D840BB"/>
    <w:rsid w:val="070C3F31"/>
    <w:rsid w:val="07107CC3"/>
    <w:rsid w:val="071E46D2"/>
    <w:rsid w:val="078965F9"/>
    <w:rsid w:val="079F0DC2"/>
    <w:rsid w:val="080F4113"/>
    <w:rsid w:val="081B28A5"/>
    <w:rsid w:val="086123D7"/>
    <w:rsid w:val="08782E64"/>
    <w:rsid w:val="087D2DA4"/>
    <w:rsid w:val="0891753F"/>
    <w:rsid w:val="095F6E9A"/>
    <w:rsid w:val="097D096F"/>
    <w:rsid w:val="09911822"/>
    <w:rsid w:val="09927536"/>
    <w:rsid w:val="0A035BDB"/>
    <w:rsid w:val="0A125676"/>
    <w:rsid w:val="0A8B37FE"/>
    <w:rsid w:val="0B2B4B52"/>
    <w:rsid w:val="0B424CDD"/>
    <w:rsid w:val="0B5C5AF0"/>
    <w:rsid w:val="0B720D46"/>
    <w:rsid w:val="0B787D60"/>
    <w:rsid w:val="0BBD74A3"/>
    <w:rsid w:val="0D2B41C8"/>
    <w:rsid w:val="0D3764E2"/>
    <w:rsid w:val="0E930150"/>
    <w:rsid w:val="0F3E4653"/>
    <w:rsid w:val="0F5512C6"/>
    <w:rsid w:val="0F781155"/>
    <w:rsid w:val="0FBD05FD"/>
    <w:rsid w:val="0FEB7704"/>
    <w:rsid w:val="10B62CCD"/>
    <w:rsid w:val="10E46E12"/>
    <w:rsid w:val="110820F8"/>
    <w:rsid w:val="116C0BEE"/>
    <w:rsid w:val="11E85599"/>
    <w:rsid w:val="123D183D"/>
    <w:rsid w:val="12445622"/>
    <w:rsid w:val="12750A9A"/>
    <w:rsid w:val="12C76714"/>
    <w:rsid w:val="138F0B1F"/>
    <w:rsid w:val="13D3395D"/>
    <w:rsid w:val="140E1A5D"/>
    <w:rsid w:val="145964E0"/>
    <w:rsid w:val="14E27D94"/>
    <w:rsid w:val="14EE72C8"/>
    <w:rsid w:val="16180861"/>
    <w:rsid w:val="16E50EAD"/>
    <w:rsid w:val="172204C6"/>
    <w:rsid w:val="17273547"/>
    <w:rsid w:val="17F730E9"/>
    <w:rsid w:val="18057282"/>
    <w:rsid w:val="181F786B"/>
    <w:rsid w:val="185D4679"/>
    <w:rsid w:val="18BA59B3"/>
    <w:rsid w:val="18D55226"/>
    <w:rsid w:val="18EC0EAD"/>
    <w:rsid w:val="1A2A6941"/>
    <w:rsid w:val="1A424906"/>
    <w:rsid w:val="1B99244F"/>
    <w:rsid w:val="1C020C6B"/>
    <w:rsid w:val="1C31561C"/>
    <w:rsid w:val="1C43618A"/>
    <w:rsid w:val="1D325168"/>
    <w:rsid w:val="1DBA7CEB"/>
    <w:rsid w:val="1DFE4089"/>
    <w:rsid w:val="1E0459F4"/>
    <w:rsid w:val="1E3824DF"/>
    <w:rsid w:val="1E6869D2"/>
    <w:rsid w:val="1E6F4012"/>
    <w:rsid w:val="1EFF2E10"/>
    <w:rsid w:val="1F136AA8"/>
    <w:rsid w:val="1F1E582B"/>
    <w:rsid w:val="1FBA0F30"/>
    <w:rsid w:val="218B2675"/>
    <w:rsid w:val="21AA1C25"/>
    <w:rsid w:val="21DE4745"/>
    <w:rsid w:val="22B6244F"/>
    <w:rsid w:val="22D93F9B"/>
    <w:rsid w:val="23225792"/>
    <w:rsid w:val="23E46C65"/>
    <w:rsid w:val="245B5746"/>
    <w:rsid w:val="24D07A2F"/>
    <w:rsid w:val="253C7578"/>
    <w:rsid w:val="255B7E50"/>
    <w:rsid w:val="25A84F00"/>
    <w:rsid w:val="25BA3BF8"/>
    <w:rsid w:val="26102C28"/>
    <w:rsid w:val="269D278F"/>
    <w:rsid w:val="26CF1507"/>
    <w:rsid w:val="27237A11"/>
    <w:rsid w:val="273E78B8"/>
    <w:rsid w:val="27A223E6"/>
    <w:rsid w:val="282C5A6C"/>
    <w:rsid w:val="285C37D0"/>
    <w:rsid w:val="285F6F9C"/>
    <w:rsid w:val="289F4879"/>
    <w:rsid w:val="28C5192E"/>
    <w:rsid w:val="28E735D2"/>
    <w:rsid w:val="28E82092"/>
    <w:rsid w:val="29134EC1"/>
    <w:rsid w:val="294066EC"/>
    <w:rsid w:val="2975038D"/>
    <w:rsid w:val="2A073660"/>
    <w:rsid w:val="2A077209"/>
    <w:rsid w:val="2A2F576C"/>
    <w:rsid w:val="2ACD3E63"/>
    <w:rsid w:val="2B165973"/>
    <w:rsid w:val="2B4A6B27"/>
    <w:rsid w:val="2C0C6D22"/>
    <w:rsid w:val="2C2A09E3"/>
    <w:rsid w:val="2C78289F"/>
    <w:rsid w:val="2C9F4335"/>
    <w:rsid w:val="2D495D24"/>
    <w:rsid w:val="2D830AD5"/>
    <w:rsid w:val="2D9454C4"/>
    <w:rsid w:val="2E3737E1"/>
    <w:rsid w:val="2E61338C"/>
    <w:rsid w:val="2EC50499"/>
    <w:rsid w:val="2F131587"/>
    <w:rsid w:val="2F143261"/>
    <w:rsid w:val="2F4A3E20"/>
    <w:rsid w:val="2F854DEE"/>
    <w:rsid w:val="2F9A2D21"/>
    <w:rsid w:val="2FD47B8E"/>
    <w:rsid w:val="2FD96B30"/>
    <w:rsid w:val="2FDA0C5F"/>
    <w:rsid w:val="30084543"/>
    <w:rsid w:val="30142846"/>
    <w:rsid w:val="301D7787"/>
    <w:rsid w:val="30561163"/>
    <w:rsid w:val="3057676D"/>
    <w:rsid w:val="30911D77"/>
    <w:rsid w:val="30A91ED3"/>
    <w:rsid w:val="30F128A3"/>
    <w:rsid w:val="315C42DF"/>
    <w:rsid w:val="317E1122"/>
    <w:rsid w:val="31AD283A"/>
    <w:rsid w:val="31E86146"/>
    <w:rsid w:val="320F7EB6"/>
    <w:rsid w:val="32160DE5"/>
    <w:rsid w:val="32401D50"/>
    <w:rsid w:val="324F1D53"/>
    <w:rsid w:val="32F44EBD"/>
    <w:rsid w:val="334828EB"/>
    <w:rsid w:val="33721710"/>
    <w:rsid w:val="33E603D9"/>
    <w:rsid w:val="345D0D46"/>
    <w:rsid w:val="34A518CD"/>
    <w:rsid w:val="34C21425"/>
    <w:rsid w:val="35494B7A"/>
    <w:rsid w:val="35506E87"/>
    <w:rsid w:val="35662E15"/>
    <w:rsid w:val="356B6FE7"/>
    <w:rsid w:val="359E179D"/>
    <w:rsid w:val="359F496F"/>
    <w:rsid w:val="360F6E6C"/>
    <w:rsid w:val="37630F49"/>
    <w:rsid w:val="37924800"/>
    <w:rsid w:val="379C6D7E"/>
    <w:rsid w:val="383C5F9A"/>
    <w:rsid w:val="38604C1F"/>
    <w:rsid w:val="38B6339B"/>
    <w:rsid w:val="391500B7"/>
    <w:rsid w:val="394E479F"/>
    <w:rsid w:val="39796F43"/>
    <w:rsid w:val="39BE5B37"/>
    <w:rsid w:val="3A7A635F"/>
    <w:rsid w:val="3AB74884"/>
    <w:rsid w:val="3AE80991"/>
    <w:rsid w:val="3BE05507"/>
    <w:rsid w:val="3C080E86"/>
    <w:rsid w:val="3CC44E04"/>
    <w:rsid w:val="3CDB7FEF"/>
    <w:rsid w:val="3CDC704B"/>
    <w:rsid w:val="3DB4356C"/>
    <w:rsid w:val="3E0A41CC"/>
    <w:rsid w:val="3E1C72D0"/>
    <w:rsid w:val="3E53775D"/>
    <w:rsid w:val="3E55633E"/>
    <w:rsid w:val="3E741E75"/>
    <w:rsid w:val="3E9F6530"/>
    <w:rsid w:val="3F6B21D5"/>
    <w:rsid w:val="405B281D"/>
    <w:rsid w:val="4111461C"/>
    <w:rsid w:val="41192AE2"/>
    <w:rsid w:val="411D024C"/>
    <w:rsid w:val="417D0085"/>
    <w:rsid w:val="41816D11"/>
    <w:rsid w:val="42CC1765"/>
    <w:rsid w:val="430B7913"/>
    <w:rsid w:val="43EF4399"/>
    <w:rsid w:val="4474467B"/>
    <w:rsid w:val="447A78C7"/>
    <w:rsid w:val="4480307B"/>
    <w:rsid w:val="44F721F7"/>
    <w:rsid w:val="44FC3914"/>
    <w:rsid w:val="45052470"/>
    <w:rsid w:val="45154A79"/>
    <w:rsid w:val="45157E48"/>
    <w:rsid w:val="45484499"/>
    <w:rsid w:val="45B57017"/>
    <w:rsid w:val="45D73970"/>
    <w:rsid w:val="461D4DFF"/>
    <w:rsid w:val="467B1A29"/>
    <w:rsid w:val="468507CA"/>
    <w:rsid w:val="46D52C1A"/>
    <w:rsid w:val="46D5626E"/>
    <w:rsid w:val="46EB7D39"/>
    <w:rsid w:val="473911F1"/>
    <w:rsid w:val="47F50E65"/>
    <w:rsid w:val="48355BCD"/>
    <w:rsid w:val="486243D2"/>
    <w:rsid w:val="48846460"/>
    <w:rsid w:val="48D30980"/>
    <w:rsid w:val="49115557"/>
    <w:rsid w:val="49355CE9"/>
    <w:rsid w:val="49F91446"/>
    <w:rsid w:val="49FB55C1"/>
    <w:rsid w:val="4A03116D"/>
    <w:rsid w:val="4A4B6FE6"/>
    <w:rsid w:val="4A5531E3"/>
    <w:rsid w:val="4AEB74F2"/>
    <w:rsid w:val="4B0318CD"/>
    <w:rsid w:val="4B55738E"/>
    <w:rsid w:val="4BA6033D"/>
    <w:rsid w:val="4BC026E2"/>
    <w:rsid w:val="4BE73B8F"/>
    <w:rsid w:val="4C873C6E"/>
    <w:rsid w:val="4CC0176E"/>
    <w:rsid w:val="4DBF6E06"/>
    <w:rsid w:val="4EB72D0A"/>
    <w:rsid w:val="4ECF3C4F"/>
    <w:rsid w:val="4EE01C53"/>
    <w:rsid w:val="4EE23333"/>
    <w:rsid w:val="4F2318D5"/>
    <w:rsid w:val="4F8A6920"/>
    <w:rsid w:val="4FB73BED"/>
    <w:rsid w:val="4FE12CFD"/>
    <w:rsid w:val="4FE749FB"/>
    <w:rsid w:val="5019487C"/>
    <w:rsid w:val="501974D9"/>
    <w:rsid w:val="5043693E"/>
    <w:rsid w:val="508B008C"/>
    <w:rsid w:val="50AD77DA"/>
    <w:rsid w:val="50E571FD"/>
    <w:rsid w:val="50FC4A76"/>
    <w:rsid w:val="517F56E9"/>
    <w:rsid w:val="5264494A"/>
    <w:rsid w:val="5293358D"/>
    <w:rsid w:val="52B04EA6"/>
    <w:rsid w:val="52CA0C50"/>
    <w:rsid w:val="532F7B99"/>
    <w:rsid w:val="535F5C20"/>
    <w:rsid w:val="536F35A6"/>
    <w:rsid w:val="53913B4F"/>
    <w:rsid w:val="540074EE"/>
    <w:rsid w:val="5499510D"/>
    <w:rsid w:val="54B62F54"/>
    <w:rsid w:val="555E7D76"/>
    <w:rsid w:val="55A0038E"/>
    <w:rsid w:val="55C7560F"/>
    <w:rsid w:val="563854E1"/>
    <w:rsid w:val="56DB003C"/>
    <w:rsid w:val="56E412B7"/>
    <w:rsid w:val="56FD28D7"/>
    <w:rsid w:val="57026BB2"/>
    <w:rsid w:val="5737087F"/>
    <w:rsid w:val="573963A5"/>
    <w:rsid w:val="57C86CC0"/>
    <w:rsid w:val="57EE113E"/>
    <w:rsid w:val="58743D20"/>
    <w:rsid w:val="58787070"/>
    <w:rsid w:val="58976A01"/>
    <w:rsid w:val="58A42B7D"/>
    <w:rsid w:val="58C718FB"/>
    <w:rsid w:val="58F1196B"/>
    <w:rsid w:val="59D95C1D"/>
    <w:rsid w:val="59EA1BD8"/>
    <w:rsid w:val="5A02180A"/>
    <w:rsid w:val="5A293626"/>
    <w:rsid w:val="5A516990"/>
    <w:rsid w:val="5A5466F6"/>
    <w:rsid w:val="5A583F4E"/>
    <w:rsid w:val="5A7D0617"/>
    <w:rsid w:val="5B9A4407"/>
    <w:rsid w:val="5BE965A6"/>
    <w:rsid w:val="5BF83153"/>
    <w:rsid w:val="5C4674A3"/>
    <w:rsid w:val="5C4D376E"/>
    <w:rsid w:val="5CA30371"/>
    <w:rsid w:val="5CCC28E2"/>
    <w:rsid w:val="5D315D31"/>
    <w:rsid w:val="5D8C7CC7"/>
    <w:rsid w:val="5D8F5755"/>
    <w:rsid w:val="5E3A06A5"/>
    <w:rsid w:val="5E765F44"/>
    <w:rsid w:val="5E8B5085"/>
    <w:rsid w:val="5ED6097D"/>
    <w:rsid w:val="5FD36373"/>
    <w:rsid w:val="5FDC1844"/>
    <w:rsid w:val="5FFC4E97"/>
    <w:rsid w:val="603761EE"/>
    <w:rsid w:val="60513192"/>
    <w:rsid w:val="60670053"/>
    <w:rsid w:val="608114ED"/>
    <w:rsid w:val="613A7C87"/>
    <w:rsid w:val="621F3F0C"/>
    <w:rsid w:val="62807874"/>
    <w:rsid w:val="62990DA2"/>
    <w:rsid w:val="634E55EC"/>
    <w:rsid w:val="63D76700"/>
    <w:rsid w:val="63E92F01"/>
    <w:rsid w:val="63EB1D2D"/>
    <w:rsid w:val="63FF2724"/>
    <w:rsid w:val="64022799"/>
    <w:rsid w:val="642159B7"/>
    <w:rsid w:val="647E2B97"/>
    <w:rsid w:val="64D616D7"/>
    <w:rsid w:val="64F920B5"/>
    <w:rsid w:val="66391F6A"/>
    <w:rsid w:val="664346B3"/>
    <w:rsid w:val="66A97EE4"/>
    <w:rsid w:val="66B9305E"/>
    <w:rsid w:val="66CD27E5"/>
    <w:rsid w:val="66E81099"/>
    <w:rsid w:val="67210C01"/>
    <w:rsid w:val="67441B7E"/>
    <w:rsid w:val="676826BE"/>
    <w:rsid w:val="678222CE"/>
    <w:rsid w:val="67D30150"/>
    <w:rsid w:val="67EA4D4E"/>
    <w:rsid w:val="67F215DE"/>
    <w:rsid w:val="67F3434E"/>
    <w:rsid w:val="684E31B6"/>
    <w:rsid w:val="695C3F1D"/>
    <w:rsid w:val="69A715A8"/>
    <w:rsid w:val="6A1F373D"/>
    <w:rsid w:val="6A7218FD"/>
    <w:rsid w:val="6AD815B0"/>
    <w:rsid w:val="6B0F353B"/>
    <w:rsid w:val="6B7B7B72"/>
    <w:rsid w:val="6B7D7B16"/>
    <w:rsid w:val="6BC6093E"/>
    <w:rsid w:val="6BD40105"/>
    <w:rsid w:val="6C403715"/>
    <w:rsid w:val="6C5C3FB1"/>
    <w:rsid w:val="6C9514B1"/>
    <w:rsid w:val="6CA22864"/>
    <w:rsid w:val="6DA35BBA"/>
    <w:rsid w:val="6DBE27AA"/>
    <w:rsid w:val="6DD30AC9"/>
    <w:rsid w:val="6E4B0418"/>
    <w:rsid w:val="6E4E3083"/>
    <w:rsid w:val="6ED73973"/>
    <w:rsid w:val="6EDB28AA"/>
    <w:rsid w:val="6EE319A2"/>
    <w:rsid w:val="6EEB6C7A"/>
    <w:rsid w:val="6F8704E3"/>
    <w:rsid w:val="6F9A47E5"/>
    <w:rsid w:val="6FA47D8A"/>
    <w:rsid w:val="6FEC7B03"/>
    <w:rsid w:val="70545BA6"/>
    <w:rsid w:val="70C31FE5"/>
    <w:rsid w:val="715B3690"/>
    <w:rsid w:val="716D504F"/>
    <w:rsid w:val="71D945B4"/>
    <w:rsid w:val="71DC08B0"/>
    <w:rsid w:val="71E4219F"/>
    <w:rsid w:val="726B2631"/>
    <w:rsid w:val="73421060"/>
    <w:rsid w:val="740F145C"/>
    <w:rsid w:val="741C5309"/>
    <w:rsid w:val="74246813"/>
    <w:rsid w:val="74436795"/>
    <w:rsid w:val="74B727ED"/>
    <w:rsid w:val="74FC38D3"/>
    <w:rsid w:val="752124FA"/>
    <w:rsid w:val="75475CD9"/>
    <w:rsid w:val="755305BC"/>
    <w:rsid w:val="756A0280"/>
    <w:rsid w:val="759C53F1"/>
    <w:rsid w:val="75AF3E67"/>
    <w:rsid w:val="76272652"/>
    <w:rsid w:val="7628496E"/>
    <w:rsid w:val="76535DBB"/>
    <w:rsid w:val="768F2DAC"/>
    <w:rsid w:val="772671BC"/>
    <w:rsid w:val="77707A2A"/>
    <w:rsid w:val="77A401AA"/>
    <w:rsid w:val="77C127EB"/>
    <w:rsid w:val="78124A7F"/>
    <w:rsid w:val="78343E93"/>
    <w:rsid w:val="788B681D"/>
    <w:rsid w:val="78925BAD"/>
    <w:rsid w:val="78C732ED"/>
    <w:rsid w:val="78CB6B1C"/>
    <w:rsid w:val="795F3AD5"/>
    <w:rsid w:val="796055BB"/>
    <w:rsid w:val="797352EE"/>
    <w:rsid w:val="799A0ACD"/>
    <w:rsid w:val="79BD0FA9"/>
    <w:rsid w:val="79F9148B"/>
    <w:rsid w:val="7A700FD4"/>
    <w:rsid w:val="7A7B26AD"/>
    <w:rsid w:val="7A8021B7"/>
    <w:rsid w:val="7AF97A7D"/>
    <w:rsid w:val="7B7A114E"/>
    <w:rsid w:val="7B7B38AA"/>
    <w:rsid w:val="7BAE55A6"/>
    <w:rsid w:val="7BCF0231"/>
    <w:rsid w:val="7C5A49B6"/>
    <w:rsid w:val="7CCE0EF8"/>
    <w:rsid w:val="7CEF12D8"/>
    <w:rsid w:val="7D060D88"/>
    <w:rsid w:val="7D0F26E1"/>
    <w:rsid w:val="7D2343E3"/>
    <w:rsid w:val="7D314A09"/>
    <w:rsid w:val="7D4E52C9"/>
    <w:rsid w:val="7DA531F6"/>
    <w:rsid w:val="7DC5295E"/>
    <w:rsid w:val="7DF6568F"/>
    <w:rsid w:val="7EB02B41"/>
    <w:rsid w:val="7EBB39C0"/>
    <w:rsid w:val="7EC408CD"/>
    <w:rsid w:val="7EEB6D16"/>
    <w:rsid w:val="7EF2048F"/>
    <w:rsid w:val="7F8D68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9AD8C0-C07B-4189-823F-61F993B7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autoRedefine/>
    <w:uiPriority w:val="99"/>
    <w:unhideWhenUsed/>
    <w:qFormat/>
    <w:rPr>
      <w:rFonts w:ascii="宋体"/>
      <w:sz w:val="24"/>
      <w:szCs w:val="24"/>
    </w:rPr>
  </w:style>
  <w:style w:type="paragraph" w:styleId="a4">
    <w:name w:val="annotation text"/>
    <w:basedOn w:val="a"/>
    <w:link w:val="Char0"/>
    <w:autoRedefine/>
    <w:uiPriority w:val="99"/>
    <w:unhideWhenUsed/>
    <w:qFormat/>
    <w:pPr>
      <w:jc w:val="left"/>
    </w:pPr>
  </w:style>
  <w:style w:type="paragraph" w:styleId="a5">
    <w:name w:val="Body Text"/>
    <w:basedOn w:val="a"/>
    <w:link w:val="Char1"/>
    <w:autoRedefine/>
    <w:uiPriority w:val="99"/>
    <w:unhideWhenUsed/>
    <w:qFormat/>
    <w:pPr>
      <w:spacing w:after="120"/>
    </w:pPr>
  </w:style>
  <w:style w:type="paragraph" w:styleId="a6">
    <w:name w:val="Balloon Text"/>
    <w:basedOn w:val="a"/>
    <w:link w:val="Char2"/>
    <w:autoRedefine/>
    <w:uiPriority w:val="99"/>
    <w:unhideWhenUsed/>
    <w:qFormat/>
    <w:rPr>
      <w:sz w:val="18"/>
      <w:szCs w:val="18"/>
    </w:rPr>
  </w:style>
  <w:style w:type="paragraph" w:styleId="a7">
    <w:name w:val="footer"/>
    <w:basedOn w:val="a"/>
    <w:link w:val="Char3"/>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4"/>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link w:val="Char5"/>
    <w:autoRedefine/>
    <w:uiPriority w:val="99"/>
    <w:semiHidden/>
    <w:unhideWhenUsed/>
    <w:qFormat/>
    <w:pPr>
      <w:snapToGrid w:val="0"/>
      <w:jc w:val="left"/>
    </w:pPr>
    <w:rPr>
      <w:sz w:val="18"/>
      <w:szCs w:val="18"/>
    </w:rPr>
  </w:style>
  <w:style w:type="paragraph" w:styleId="aa">
    <w:name w:val="Normal (Web)"/>
    <w:basedOn w:val="a"/>
    <w:autoRedefine/>
    <w:qFormat/>
    <w:pPr>
      <w:widowControl/>
      <w:spacing w:before="100" w:beforeAutospacing="1" w:after="100" w:afterAutospacing="1"/>
      <w:jc w:val="left"/>
    </w:pPr>
    <w:rPr>
      <w:rFonts w:ascii="宋体" w:hAnsi="宋体" w:cs="宋体"/>
      <w:kern w:val="0"/>
      <w:sz w:val="24"/>
      <w:szCs w:val="24"/>
    </w:rPr>
  </w:style>
  <w:style w:type="paragraph" w:styleId="ab">
    <w:name w:val="annotation subject"/>
    <w:basedOn w:val="a4"/>
    <w:next w:val="a4"/>
    <w:link w:val="Char6"/>
    <w:autoRedefine/>
    <w:uiPriority w:val="99"/>
    <w:unhideWhenUsed/>
    <w:qFormat/>
    <w:rPr>
      <w:b/>
      <w:bCs/>
    </w:rPr>
  </w:style>
  <w:style w:type="table" w:styleId="ac">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autoRedefine/>
    <w:uiPriority w:val="22"/>
    <w:qFormat/>
    <w:rPr>
      <w:b/>
    </w:rPr>
  </w:style>
  <w:style w:type="character" w:styleId="ae">
    <w:name w:val="Hyperlink"/>
    <w:basedOn w:val="a0"/>
    <w:autoRedefine/>
    <w:uiPriority w:val="99"/>
    <w:unhideWhenUsed/>
    <w:qFormat/>
    <w:rPr>
      <w:color w:val="0000FF" w:themeColor="hyperlink"/>
      <w:u w:val="single"/>
    </w:rPr>
  </w:style>
  <w:style w:type="character" w:styleId="af">
    <w:name w:val="annotation reference"/>
    <w:basedOn w:val="a0"/>
    <w:autoRedefine/>
    <w:uiPriority w:val="99"/>
    <w:unhideWhenUsed/>
    <w:qFormat/>
    <w:rPr>
      <w:sz w:val="21"/>
      <w:szCs w:val="21"/>
    </w:rPr>
  </w:style>
  <w:style w:type="character" w:styleId="af0">
    <w:name w:val="footnote reference"/>
    <w:basedOn w:val="a0"/>
    <w:autoRedefine/>
    <w:uiPriority w:val="99"/>
    <w:semiHidden/>
    <w:unhideWhenUsed/>
    <w:qFormat/>
    <w:rPr>
      <w:vertAlign w:val="superscript"/>
    </w:rPr>
  </w:style>
  <w:style w:type="character" w:customStyle="1" w:styleId="Char4">
    <w:name w:val="页眉 Char"/>
    <w:basedOn w:val="a0"/>
    <w:link w:val="a8"/>
    <w:autoRedefine/>
    <w:uiPriority w:val="99"/>
    <w:qFormat/>
    <w:rPr>
      <w:sz w:val="18"/>
      <w:szCs w:val="18"/>
    </w:rPr>
  </w:style>
  <w:style w:type="character" w:customStyle="1" w:styleId="Char3">
    <w:name w:val="页脚 Char"/>
    <w:basedOn w:val="a0"/>
    <w:link w:val="a7"/>
    <w:autoRedefine/>
    <w:uiPriority w:val="99"/>
    <w:qFormat/>
    <w:rPr>
      <w:sz w:val="18"/>
      <w:szCs w:val="18"/>
    </w:rPr>
  </w:style>
  <w:style w:type="character" w:customStyle="1" w:styleId="Char2">
    <w:name w:val="批注框文本 Char"/>
    <w:basedOn w:val="a0"/>
    <w:link w:val="a6"/>
    <w:autoRedefine/>
    <w:uiPriority w:val="99"/>
    <w:semiHidden/>
    <w:qFormat/>
    <w:rPr>
      <w:sz w:val="18"/>
      <w:szCs w:val="18"/>
    </w:rPr>
  </w:style>
  <w:style w:type="paragraph" w:customStyle="1" w:styleId="1">
    <w:name w:val="列出段落1"/>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宋体" w:hAnsi="Calibri" w:cs="宋体"/>
      <w:color w:val="000000"/>
      <w:sz w:val="24"/>
      <w:szCs w:val="24"/>
    </w:rPr>
  </w:style>
  <w:style w:type="character" w:customStyle="1" w:styleId="Char0">
    <w:name w:val="批注文字 Char"/>
    <w:basedOn w:val="a0"/>
    <w:link w:val="a4"/>
    <w:autoRedefine/>
    <w:uiPriority w:val="99"/>
    <w:qFormat/>
    <w:rPr>
      <w:kern w:val="2"/>
      <w:sz w:val="21"/>
      <w:szCs w:val="22"/>
    </w:rPr>
  </w:style>
  <w:style w:type="character" w:customStyle="1" w:styleId="Char6">
    <w:name w:val="批注主题 Char"/>
    <w:basedOn w:val="Char0"/>
    <w:link w:val="ab"/>
    <w:autoRedefine/>
    <w:uiPriority w:val="99"/>
    <w:semiHidden/>
    <w:qFormat/>
    <w:rPr>
      <w:b/>
      <w:bCs/>
      <w:kern w:val="2"/>
      <w:sz w:val="21"/>
      <w:szCs w:val="22"/>
    </w:rPr>
  </w:style>
  <w:style w:type="paragraph" w:customStyle="1" w:styleId="2">
    <w:name w:val="列出段落2"/>
    <w:basedOn w:val="a"/>
    <w:autoRedefine/>
    <w:uiPriority w:val="99"/>
    <w:unhideWhenUsed/>
    <w:qFormat/>
    <w:pPr>
      <w:ind w:firstLineChars="200" w:firstLine="420"/>
    </w:pPr>
  </w:style>
  <w:style w:type="character" w:customStyle="1" w:styleId="15">
    <w:name w:val="15"/>
    <w:basedOn w:val="a0"/>
    <w:autoRedefine/>
    <w:qFormat/>
    <w:rPr>
      <w:rFonts w:ascii="Times New Roman" w:hAnsi="Times New Roman" w:cs="Times New Roman" w:hint="default"/>
      <w:b/>
      <w:bCs/>
    </w:rPr>
  </w:style>
  <w:style w:type="character" w:customStyle="1" w:styleId="Char">
    <w:name w:val="文档结构图 Char"/>
    <w:basedOn w:val="a0"/>
    <w:link w:val="a3"/>
    <w:autoRedefine/>
    <w:uiPriority w:val="99"/>
    <w:semiHidden/>
    <w:qFormat/>
    <w:rPr>
      <w:rFonts w:ascii="宋体" w:hAnsi="Calibri"/>
      <w:kern w:val="2"/>
      <w:sz w:val="24"/>
      <w:szCs w:val="24"/>
    </w:rPr>
  </w:style>
  <w:style w:type="paragraph" w:customStyle="1" w:styleId="TableParagraph">
    <w:name w:val="Table Paragraph"/>
    <w:basedOn w:val="a"/>
    <w:autoRedefine/>
    <w:uiPriority w:val="1"/>
    <w:qFormat/>
    <w:pPr>
      <w:jc w:val="left"/>
    </w:pPr>
    <w:rPr>
      <w:rFonts w:asciiTheme="minorHAnsi" w:eastAsiaTheme="minorEastAsia" w:hAnsiTheme="minorHAnsi" w:cstheme="minorBidi"/>
      <w:kern w:val="0"/>
      <w:sz w:val="22"/>
      <w:lang w:eastAsia="en-US"/>
    </w:rPr>
  </w:style>
  <w:style w:type="character" w:customStyle="1" w:styleId="Char1">
    <w:name w:val="正文文本 Char"/>
    <w:basedOn w:val="a0"/>
    <w:link w:val="a5"/>
    <w:autoRedefine/>
    <w:uiPriority w:val="99"/>
    <w:semiHidden/>
    <w:qFormat/>
    <w:rPr>
      <w:rFonts w:ascii="Calibri" w:hAnsi="Calibri"/>
      <w:kern w:val="2"/>
      <w:sz w:val="21"/>
      <w:szCs w:val="22"/>
    </w:rPr>
  </w:style>
  <w:style w:type="table" w:customStyle="1" w:styleId="TableNormal">
    <w:name w:val="Table Normal"/>
    <w:autoRedefine/>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0">
    <w:name w:val="修订1"/>
    <w:autoRedefine/>
    <w:hidden/>
    <w:uiPriority w:val="99"/>
    <w:unhideWhenUsed/>
    <w:qFormat/>
    <w:rPr>
      <w:rFonts w:ascii="Calibri" w:hAnsi="Calibri"/>
      <w:kern w:val="2"/>
      <w:sz w:val="21"/>
      <w:szCs w:val="22"/>
    </w:rPr>
  </w:style>
  <w:style w:type="paragraph" w:customStyle="1" w:styleId="11">
    <w:name w:val="列表段落1"/>
    <w:basedOn w:val="a"/>
    <w:autoRedefine/>
    <w:uiPriority w:val="99"/>
    <w:qFormat/>
    <w:pPr>
      <w:ind w:firstLineChars="200" w:firstLine="420"/>
    </w:pPr>
  </w:style>
  <w:style w:type="paragraph" w:customStyle="1" w:styleId="20">
    <w:name w:val="修订2"/>
    <w:autoRedefine/>
    <w:hidden/>
    <w:uiPriority w:val="99"/>
    <w:semiHidden/>
    <w:qFormat/>
    <w:rPr>
      <w:rFonts w:ascii="Calibri" w:hAnsi="Calibri"/>
      <w:kern w:val="2"/>
      <w:sz w:val="21"/>
      <w:szCs w:val="22"/>
    </w:rPr>
  </w:style>
  <w:style w:type="character" w:customStyle="1" w:styleId="12">
    <w:name w:val="未处理的提及1"/>
    <w:basedOn w:val="a0"/>
    <w:autoRedefine/>
    <w:uiPriority w:val="99"/>
    <w:semiHidden/>
    <w:unhideWhenUsed/>
    <w:qFormat/>
    <w:rPr>
      <w:color w:val="605E5C"/>
      <w:shd w:val="clear" w:color="auto" w:fill="E1DFDD"/>
    </w:rPr>
  </w:style>
  <w:style w:type="paragraph" w:styleId="af1">
    <w:name w:val="List Paragraph"/>
    <w:basedOn w:val="a"/>
    <w:autoRedefine/>
    <w:uiPriority w:val="99"/>
    <w:qFormat/>
    <w:pPr>
      <w:ind w:firstLineChars="200" w:firstLine="420"/>
    </w:pPr>
  </w:style>
  <w:style w:type="paragraph" w:customStyle="1" w:styleId="3">
    <w:name w:val="修订3"/>
    <w:autoRedefine/>
    <w:hidden/>
    <w:uiPriority w:val="99"/>
    <w:semiHidden/>
    <w:qFormat/>
    <w:rPr>
      <w:rFonts w:ascii="Calibri" w:hAnsi="Calibri"/>
      <w:kern w:val="2"/>
      <w:sz w:val="21"/>
      <w:szCs w:val="22"/>
    </w:rPr>
  </w:style>
  <w:style w:type="character" w:customStyle="1" w:styleId="highlight">
    <w:name w:val="highlight"/>
    <w:basedOn w:val="a0"/>
    <w:autoRedefine/>
    <w:qFormat/>
  </w:style>
  <w:style w:type="paragraph" w:customStyle="1" w:styleId="4">
    <w:name w:val="修订4"/>
    <w:autoRedefine/>
    <w:hidden/>
    <w:uiPriority w:val="99"/>
    <w:semiHidden/>
    <w:qFormat/>
    <w:rPr>
      <w:rFonts w:ascii="Calibri" w:hAnsi="Calibri"/>
      <w:kern w:val="2"/>
      <w:sz w:val="21"/>
      <w:szCs w:val="22"/>
    </w:rPr>
  </w:style>
  <w:style w:type="character" w:customStyle="1" w:styleId="Char5">
    <w:name w:val="脚注文本 Char"/>
    <w:basedOn w:val="a0"/>
    <w:link w:val="a9"/>
    <w:autoRedefine/>
    <w:uiPriority w:val="99"/>
    <w:semiHidden/>
    <w:qFormat/>
    <w:rPr>
      <w:rFonts w:ascii="Calibri" w:hAnsi="Calibri"/>
      <w:kern w:val="2"/>
      <w:sz w:val="18"/>
      <w:szCs w:val="18"/>
    </w:rPr>
  </w:style>
  <w:style w:type="character" w:customStyle="1" w:styleId="13">
    <w:name w:val="批注文字 字符1"/>
    <w:autoRedefine/>
    <w:uiPriority w:val="99"/>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tttttt\Desktop\&#25253;&#38134;&#30417;\&#20010;&#20154;320\&#38468;&#20214;7&#65306;&#20135;&#21697;&#35828;&#26126;&#20070;&#65288;&#22825;&#28155;&#37329;2013&#24180;&#31532;304&#26399;&#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FB32A-C6D2-4C46-8666-7E73C14C5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附件7：产品说明书（天添金2013年第304期）.dot</Template>
  <TotalTime>0</TotalTime>
  <Pages>18</Pages>
  <Words>2648</Words>
  <Characters>15100</Characters>
  <Application>Microsoft Office Word</Application>
  <DocSecurity>0</DocSecurity>
  <Lines>125</Lines>
  <Paragraphs>35</Paragraphs>
  <ScaleCrop>false</ScaleCrop>
  <Company>微软中国</Company>
  <LinksUpToDate>false</LinksUpToDate>
  <CharactersWithSpaces>17713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王子淳</cp:lastModifiedBy>
  <cp:revision>2</cp:revision>
  <cp:lastPrinted>2022-11-03T01:37:00Z</cp:lastPrinted>
  <dcterms:created xsi:type="dcterms:W3CDTF">2024-07-05T03:19:00Z</dcterms:created>
  <dcterms:modified xsi:type="dcterms:W3CDTF">2024-07-05T03:19:00Z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DEB7A87BE89B4694B45A93D32B094E7C_13</vt:lpwstr>
  </property>
</Properties>
</file>