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47"/>
        </w:tabs>
        <w:spacing w:line="440" w:lineRule="exact"/>
        <w:ind w:right="23" w:rightChars="11"/>
        <w:contextualSpacing/>
        <w:jc w:val="center"/>
        <w:outlineLvl w:val="0"/>
        <w:rPr>
          <w:rFonts w:hint="eastAsia" w:ascii="Arial" w:hAnsi="Arial" w:eastAsia="宋体" w:cs="Arial"/>
          <w:b/>
          <w:sz w:val="28"/>
          <w:szCs w:val="28"/>
          <w:lang w:eastAsia="zh-CN"/>
        </w:rPr>
      </w:pPr>
      <w:r>
        <w:rPr>
          <w:rFonts w:hint="eastAsia" w:ascii="Arial" w:hAnsi="Arial" w:cs="Arial"/>
          <w:b/>
          <w:sz w:val="28"/>
          <w:szCs w:val="28"/>
          <w:lang w:eastAsia="zh-CN"/>
        </w:rPr>
        <w:t>平安理财灵活成长汇稳日开14天持有1号固收类理财产品</w:t>
      </w:r>
    </w:p>
    <w:p>
      <w:pPr>
        <w:tabs>
          <w:tab w:val="left" w:pos="8647"/>
        </w:tabs>
        <w:spacing w:line="440" w:lineRule="exact"/>
        <w:ind w:right="23" w:rightChars="11"/>
        <w:contextualSpacing/>
        <w:jc w:val="center"/>
        <w:outlineLvl w:val="0"/>
        <w:rPr>
          <w:rFonts w:ascii="Arial" w:hAnsi="Arial" w:cs="Arial"/>
          <w:b/>
          <w:sz w:val="28"/>
          <w:szCs w:val="28"/>
        </w:rPr>
      </w:pPr>
      <w:r>
        <w:rPr>
          <w:rFonts w:ascii="Arial" w:hAnsi="Arial" w:cs="Arial"/>
          <w:b/>
          <w:sz w:val="28"/>
          <w:szCs w:val="28"/>
        </w:rPr>
        <w:t>风险揭示书</w:t>
      </w:r>
    </w:p>
    <w:p>
      <w:pPr>
        <w:rPr>
          <w:rFonts w:ascii="Arial" w:hAnsi="Arial" w:cs="Arial"/>
        </w:rPr>
      </w:pPr>
    </w:p>
    <w:p>
      <w:pPr>
        <w:spacing w:line="360" w:lineRule="auto"/>
        <w:jc w:val="center"/>
        <w:rPr>
          <w:rFonts w:ascii="Arial" w:hAnsi="Arial" w:cs="Arial"/>
          <w:b/>
          <w:sz w:val="24"/>
        </w:rPr>
      </w:pPr>
      <w:r>
        <w:rPr>
          <w:rFonts w:ascii="Arial" w:hAnsi="Arial" w:cs="Arial"/>
          <w:b/>
          <w:sz w:val="24"/>
        </w:rPr>
        <w:t>理财非存款，产品有风险，投资须谨慎</w:t>
      </w:r>
    </w:p>
    <w:p>
      <w:pPr>
        <w:spacing w:line="360" w:lineRule="auto"/>
        <w:jc w:val="center"/>
        <w:rPr>
          <w:rFonts w:ascii="Arial" w:hAnsi="Arial" w:cs="Arial"/>
          <w:b/>
          <w:sz w:val="24"/>
        </w:rPr>
      </w:pPr>
    </w:p>
    <w:p>
      <w:pPr>
        <w:spacing w:line="360" w:lineRule="auto"/>
        <w:ind w:firstLine="442" w:firstLineChars="200"/>
        <w:rPr>
          <w:rFonts w:ascii="Arial" w:hAnsi="Arial" w:cs="Arial"/>
          <w:b/>
          <w:sz w:val="22"/>
        </w:rPr>
      </w:pPr>
      <w:r>
        <w:rPr>
          <w:rFonts w:hint="eastAsia" w:ascii="Arial" w:hAnsi="Arial" w:cs="Arial"/>
          <w:b/>
          <w:sz w:val="22"/>
        </w:rPr>
        <w:t>本理财产品为固定收益类产品，属于开放式非保本浮动收益型理财产品。</w:t>
      </w:r>
    </w:p>
    <w:p>
      <w:pPr>
        <w:spacing w:line="360" w:lineRule="auto"/>
        <w:ind w:firstLine="442" w:firstLineChars="200"/>
        <w:rPr>
          <w:rFonts w:ascii="Arial" w:hAnsi="Arial" w:cs="Arial"/>
          <w:b/>
          <w:sz w:val="22"/>
        </w:rPr>
      </w:pPr>
      <w:r>
        <w:rPr>
          <w:rFonts w:ascii="Arial" w:hAnsi="Arial" w:cs="Arial"/>
          <w:b/>
          <w:sz w:val="22"/>
        </w:rPr>
        <w:t>特别提示：</w:t>
      </w:r>
      <w:r>
        <w:rPr>
          <w:rFonts w:hint="eastAsia" w:ascii="Arial" w:hAnsi="Arial" w:cs="Arial"/>
          <w:b/>
          <w:sz w:val="22"/>
        </w:rPr>
        <w:t>本</w:t>
      </w:r>
      <w:r>
        <w:rPr>
          <w:rFonts w:ascii="Arial" w:hAnsi="Arial" w:cs="Arial"/>
          <w:b/>
          <w:sz w:val="22"/>
        </w:rPr>
        <w:t>理财产品过往业绩不代表其未来表现，不等于</w:t>
      </w:r>
      <w:r>
        <w:rPr>
          <w:rFonts w:hint="eastAsia" w:ascii="Arial" w:hAnsi="Arial" w:cs="Arial"/>
          <w:b/>
          <w:sz w:val="22"/>
        </w:rPr>
        <w:t>本</w:t>
      </w:r>
      <w:r>
        <w:rPr>
          <w:rFonts w:ascii="Arial" w:hAnsi="Arial" w:cs="Arial"/>
          <w:b/>
          <w:sz w:val="22"/>
        </w:rPr>
        <w:t>理财产品实际收益，投资须谨慎</w:t>
      </w:r>
      <w:r>
        <w:rPr>
          <w:rFonts w:hint="eastAsia" w:ascii="Arial" w:hAnsi="Arial" w:cs="Arial"/>
          <w:b/>
          <w:sz w:val="22"/>
        </w:rPr>
        <w:t>。</w:t>
      </w:r>
      <w:r>
        <w:rPr>
          <w:rFonts w:ascii="Arial" w:hAnsi="Arial" w:cs="Arial"/>
          <w:b/>
          <w:sz w:val="22"/>
        </w:rPr>
        <w:t>本理财产品不保证本金和收益，投资者可能会因本</w:t>
      </w:r>
      <w:r>
        <w:rPr>
          <w:rFonts w:hint="eastAsia" w:ascii="Arial" w:hAnsi="Arial" w:cs="Arial"/>
          <w:b/>
          <w:sz w:val="22"/>
        </w:rPr>
        <w:t>《风险</w:t>
      </w:r>
      <w:r>
        <w:rPr>
          <w:rFonts w:ascii="Arial" w:hAnsi="Arial" w:cs="Arial"/>
          <w:b/>
          <w:sz w:val="22"/>
        </w:rPr>
        <w:t>揭示书</w:t>
      </w:r>
      <w:r>
        <w:rPr>
          <w:rFonts w:hint="eastAsia" w:ascii="Arial" w:hAnsi="Arial" w:cs="Arial"/>
          <w:b/>
          <w:sz w:val="22"/>
        </w:rPr>
        <w:t>》</w:t>
      </w:r>
      <w:r>
        <w:rPr>
          <w:rFonts w:ascii="Arial" w:hAnsi="Arial" w:cs="Arial"/>
          <w:b/>
          <w:sz w:val="22"/>
        </w:rPr>
        <w:t>所列风险蒙受</w:t>
      </w:r>
      <w:r>
        <w:rPr>
          <w:rFonts w:hint="eastAsia" w:ascii="Arial" w:hAnsi="Arial" w:cs="Arial"/>
          <w:b/>
          <w:sz w:val="22"/>
        </w:rPr>
        <w:t>本金及理财收益</w:t>
      </w:r>
      <w:r>
        <w:rPr>
          <w:rFonts w:ascii="Arial" w:hAnsi="Arial" w:cs="Arial"/>
          <w:b/>
          <w:sz w:val="22"/>
        </w:rPr>
        <w:t>损失</w:t>
      </w:r>
      <w:r>
        <w:rPr>
          <w:rFonts w:hint="eastAsia" w:ascii="Arial" w:hAnsi="Arial" w:cs="Arial"/>
          <w:b/>
          <w:sz w:val="22"/>
        </w:rPr>
        <w:t>；在最不利的情况下，本理财产品收益率可能为零或负，投资者有可能损失全部本金。</w:t>
      </w:r>
      <w:r>
        <w:rPr>
          <w:rFonts w:ascii="Arial" w:hAnsi="Arial" w:cs="Arial"/>
          <w:b/>
          <w:sz w:val="22"/>
        </w:rPr>
        <w:t>请</w:t>
      </w:r>
      <w:r>
        <w:rPr>
          <w:rFonts w:hint="eastAsia" w:ascii="Arial" w:hAnsi="Arial" w:cs="Arial"/>
          <w:b/>
          <w:sz w:val="22"/>
        </w:rPr>
        <w:t>投资者</w:t>
      </w:r>
      <w:r>
        <w:rPr>
          <w:rFonts w:ascii="Arial" w:hAnsi="Arial" w:cs="Arial"/>
          <w:b/>
          <w:sz w:val="22"/>
        </w:rPr>
        <w:t>充分认识投资风险</w:t>
      </w:r>
      <w:r>
        <w:rPr>
          <w:rFonts w:hint="eastAsia" w:ascii="Arial" w:hAnsi="Arial" w:cs="Arial"/>
          <w:b/>
          <w:sz w:val="22"/>
        </w:rPr>
        <w:t>，谨慎投资</w:t>
      </w:r>
      <w:r>
        <w:rPr>
          <w:rFonts w:ascii="Arial" w:hAnsi="Arial" w:cs="Arial"/>
          <w:b/>
          <w:sz w:val="22"/>
        </w:rPr>
        <w:t>。</w:t>
      </w:r>
    </w:p>
    <w:p>
      <w:pPr>
        <w:spacing w:line="360" w:lineRule="auto"/>
        <w:ind w:firstLine="440" w:firstLineChars="200"/>
        <w:rPr>
          <w:rFonts w:ascii="Arial" w:hAnsi="Arial" w:cs="Arial"/>
          <w:sz w:val="22"/>
        </w:rPr>
      </w:pPr>
      <w:r>
        <w:rPr>
          <w:rFonts w:hint="eastAsia" w:ascii="Arial" w:hAnsi="Arial" w:cs="Arial"/>
          <w:sz w:val="22"/>
        </w:rPr>
        <w:t>本理财产品无特定存续期限，其</w:t>
      </w:r>
      <w:r>
        <w:rPr>
          <w:rFonts w:ascii="Arial" w:hAnsi="Arial" w:cs="Arial"/>
          <w:sz w:val="22"/>
        </w:rPr>
        <w:t>风险评级为</w:t>
      </w:r>
      <w:r>
        <w:rPr>
          <w:rFonts w:hint="eastAsia" w:ascii="Arial" w:hAnsi="Arial" w:cs="Arial"/>
          <w:b/>
          <w:sz w:val="22"/>
        </w:rPr>
        <w:t>二级（中低）风险</w:t>
      </w:r>
      <w:r>
        <w:rPr>
          <w:rFonts w:ascii="Arial" w:hAnsi="Arial" w:cs="Arial"/>
          <w:sz w:val="22"/>
        </w:rPr>
        <w:t>，适合向个人投资者和机构投资者</w:t>
      </w:r>
      <w:r>
        <w:rPr>
          <w:rFonts w:hint="eastAsia" w:ascii="Arial" w:hAnsi="Arial" w:cs="Arial"/>
          <w:sz w:val="22"/>
        </w:rPr>
        <w:t>销售。本风险评级为平安理财有限责任公司</w:t>
      </w:r>
      <w:r>
        <w:rPr>
          <w:rFonts w:ascii="Arial" w:hAnsi="Arial" w:cs="Arial"/>
          <w:sz w:val="22"/>
        </w:rPr>
        <w:t>（以下简称</w:t>
      </w:r>
      <w:r>
        <w:rPr>
          <w:rFonts w:hint="eastAsia" w:ascii="Arial" w:hAnsi="Arial" w:cs="Arial"/>
          <w:sz w:val="22"/>
        </w:rPr>
        <w:t>“平安理财”、“管理人”</w:t>
      </w:r>
      <w:r>
        <w:rPr>
          <w:rFonts w:ascii="Arial" w:hAnsi="Arial" w:cs="Arial"/>
          <w:sz w:val="22"/>
        </w:rPr>
        <w:t>）</w:t>
      </w:r>
      <w:r>
        <w:rPr>
          <w:rFonts w:hint="eastAsia" w:ascii="Arial" w:hAnsi="Arial" w:cs="Arial"/>
          <w:sz w:val="22"/>
        </w:rPr>
        <w:t>内部评级结果，该评级仅供参考。本理财产品通过销售服务机构销售的，产品风险评级以销售服务机构最终披露的风险评级结果为准</w:t>
      </w:r>
      <w:r>
        <w:rPr>
          <w:rFonts w:ascii="Arial" w:hAnsi="Arial" w:cs="Arial"/>
          <w:sz w:val="22"/>
        </w:rPr>
        <w:t>。平安理财建议：风险承受能力为</w:t>
      </w:r>
      <w:r>
        <w:rPr>
          <w:rFonts w:hint="eastAsia" w:ascii="Arial" w:hAnsi="Arial" w:cs="Arial"/>
          <w:sz w:val="22"/>
        </w:rPr>
        <w:t>“进取型”、“成长型”、“平衡型”、“稳健型”</w:t>
      </w:r>
      <w:r>
        <w:rPr>
          <w:rFonts w:ascii="Arial" w:hAnsi="Arial" w:cs="Arial"/>
          <w:sz w:val="22"/>
        </w:rPr>
        <w:t>的客户适合购买本</w:t>
      </w:r>
      <w:r>
        <w:rPr>
          <w:rFonts w:hint="eastAsia" w:ascii="Arial" w:hAnsi="Arial" w:cs="Arial"/>
          <w:sz w:val="22"/>
        </w:rPr>
        <w:t>理财</w:t>
      </w:r>
      <w:r>
        <w:rPr>
          <w:rFonts w:ascii="Arial" w:hAnsi="Arial" w:cs="Arial"/>
          <w:sz w:val="22"/>
        </w:rPr>
        <w:t>产品。</w:t>
      </w:r>
      <w:r>
        <w:rPr>
          <w:rFonts w:hint="eastAsia" w:ascii="Arial" w:hAnsi="Arial" w:cs="Arial"/>
          <w:b/>
          <w:sz w:val="22"/>
        </w:rPr>
        <w:t>如个人投资者超过一年未进行风险承受能力评估或影响个人投资者风险承受能力的因素发生变化，请及时重新完成风险承受能力评估。</w:t>
      </w:r>
    </w:p>
    <w:p>
      <w:pPr>
        <w:spacing w:line="360" w:lineRule="auto"/>
        <w:ind w:firstLine="440" w:firstLineChars="200"/>
        <w:rPr>
          <w:rFonts w:ascii="Arial" w:hAnsi="Arial" w:cs="Arial"/>
          <w:sz w:val="22"/>
        </w:rPr>
      </w:pPr>
      <w:r>
        <w:rPr>
          <w:rFonts w:ascii="Arial" w:hAnsi="Arial" w:cs="Arial"/>
          <w:sz w:val="22"/>
        </w:rPr>
        <w:t>以下风险揭示内容请投资者详细阅读，在充分了解并清楚知晓本</w:t>
      </w:r>
      <w:r>
        <w:rPr>
          <w:rFonts w:hint="eastAsia" w:ascii="Arial" w:hAnsi="Arial" w:cs="Arial"/>
          <w:sz w:val="22"/>
        </w:rPr>
        <w:t>理财</w:t>
      </w:r>
      <w:r>
        <w:rPr>
          <w:rFonts w:ascii="Arial" w:hAnsi="Arial" w:cs="Arial"/>
          <w:sz w:val="22"/>
        </w:rPr>
        <w:t>产品蕴含风险的基础上，通过自身判断自主参与交易，并自愿承担相关风险：</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本金及理财收益风险：</w:t>
      </w:r>
      <w:r>
        <w:rPr>
          <w:rFonts w:ascii="Arial" w:hAnsi="Arial" w:cs="Arial"/>
          <w:sz w:val="22"/>
          <w:szCs w:val="22"/>
        </w:rPr>
        <w:t>本理财产品不保证本金和收益，理财产品收益来源于本理财产品项下投资组合的回报，容易受到市场利率变化，投资组合运作情况以及投资管理能力等的影响。</w:t>
      </w:r>
      <w:r>
        <w:rPr>
          <w:rFonts w:hint="eastAsia" w:ascii="Arial" w:hAnsi="Arial" w:cs="Arial"/>
          <w:b/>
          <w:sz w:val="22"/>
          <w:szCs w:val="22"/>
        </w:rPr>
        <w:t>如投资组合发生市场风险、信用风险和流动性风险等情形，投资者可能会因此蒙受本金及理财收益损失；</w:t>
      </w:r>
      <w:r>
        <w:rPr>
          <w:rFonts w:ascii="Arial" w:hAnsi="Arial" w:cs="Arial"/>
          <w:b/>
          <w:sz w:val="22"/>
          <w:szCs w:val="22"/>
        </w:rPr>
        <w:t>在</w:t>
      </w:r>
      <w:r>
        <w:rPr>
          <w:rFonts w:hint="eastAsia" w:ascii="Arial" w:hAnsi="Arial" w:cs="Arial"/>
          <w:b/>
          <w:sz w:val="22"/>
          <w:szCs w:val="22"/>
        </w:rPr>
        <w:t>发生资产违约且无法正常处置等</w:t>
      </w:r>
      <w:r>
        <w:rPr>
          <w:rFonts w:ascii="Arial" w:hAnsi="Arial" w:cs="Arial"/>
          <w:b/>
          <w:sz w:val="22"/>
          <w:szCs w:val="22"/>
        </w:rPr>
        <w:t>最不利的情况下，</w:t>
      </w:r>
      <w:r>
        <w:rPr>
          <w:rFonts w:hint="eastAsia" w:ascii="Arial" w:hAnsi="Arial" w:cs="Arial"/>
          <w:b/>
          <w:sz w:val="22"/>
          <w:szCs w:val="22"/>
        </w:rPr>
        <w:t>本理财产品收益率可能为零或负，投资者有可能损失全部投资本金</w:t>
      </w:r>
      <w:r>
        <w:rPr>
          <w:rFonts w:ascii="Arial" w:hAnsi="Arial" w:cs="Arial"/>
          <w:b/>
          <w:sz w:val="22"/>
          <w:szCs w:val="22"/>
        </w:rPr>
        <w:t>。</w:t>
      </w:r>
      <w:r>
        <w:rPr>
          <w:rFonts w:hint="eastAsia" w:ascii="Arial" w:hAnsi="Arial" w:cs="Arial"/>
          <w:b/>
          <w:sz w:val="22"/>
          <w:szCs w:val="22"/>
        </w:rPr>
        <w:t>本理财产品可能设置不同份额，不同份额的目标客户、交易规则、业绩比较基准及理财产品费用（如</w:t>
      </w:r>
      <w:r>
        <w:rPr>
          <w:rFonts w:hint="eastAsia" w:ascii="Arial" w:hAnsi="Arial" w:cs="Arial"/>
          <w:b/>
          <w:sz w:val="22"/>
          <w:szCs w:val="20"/>
        </w:rPr>
        <w:t>认</w:t>
      </w:r>
      <w:r>
        <w:rPr>
          <w:rFonts w:ascii="Arial" w:hAnsi="Arial" w:cs="Arial"/>
          <w:b/>
          <w:sz w:val="22"/>
          <w:szCs w:val="20"/>
        </w:rPr>
        <w:t>/</w:t>
      </w:r>
      <w:r>
        <w:rPr>
          <w:rFonts w:hint="eastAsia" w:ascii="Arial" w:hAnsi="Arial" w:cs="Arial"/>
          <w:b/>
          <w:sz w:val="22"/>
          <w:szCs w:val="20"/>
        </w:rPr>
        <w:t>申购费、</w:t>
      </w:r>
      <w:r>
        <w:rPr>
          <w:rFonts w:hint="eastAsia" w:ascii="Arial" w:hAnsi="Arial" w:cs="Arial"/>
          <w:b/>
          <w:sz w:val="22"/>
          <w:szCs w:val="22"/>
        </w:rPr>
        <w:t>销售服务费等）等要素可能有所不同，详见本理财产品《产品说明书》的相关约定。本理财产品不同份额的份额净值可能有所不同，进而影响客户的最终实际收益。投资者在认购/申购前请仔细阅读并充分理解相关条款。</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利率风险：</w:t>
      </w:r>
      <w:r>
        <w:rPr>
          <w:rFonts w:ascii="Arial" w:hAnsi="Arial" w:cs="Arial"/>
          <w:sz w:val="22"/>
          <w:szCs w:val="22"/>
        </w:rPr>
        <w:t>在</w:t>
      </w:r>
      <w:r>
        <w:rPr>
          <w:rFonts w:hint="eastAsia" w:ascii="Arial" w:hAnsi="Arial" w:cs="Arial"/>
          <w:sz w:val="22"/>
          <w:szCs w:val="22"/>
        </w:rPr>
        <w:t>本理财产品存续期间</w:t>
      </w:r>
      <w:r>
        <w:rPr>
          <w:rFonts w:ascii="Arial" w:hAnsi="Arial" w:cs="Arial"/>
          <w:sz w:val="22"/>
          <w:szCs w:val="22"/>
        </w:rPr>
        <w:t>，如果市场利率波动，</w:t>
      </w:r>
      <w:r>
        <w:rPr>
          <w:rFonts w:hint="eastAsia" w:ascii="Arial" w:hAnsi="Arial" w:cs="Arial"/>
          <w:sz w:val="22"/>
          <w:szCs w:val="22"/>
        </w:rPr>
        <w:t>本</w:t>
      </w:r>
      <w:r>
        <w:rPr>
          <w:rFonts w:ascii="Arial" w:hAnsi="Arial" w:cs="Arial"/>
          <w:sz w:val="22"/>
          <w:szCs w:val="22"/>
        </w:rPr>
        <w:t>理财产品所投资的固定收益类资产可能面临市值下降的风险。</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市场风险：</w:t>
      </w:r>
      <w:r>
        <w:rPr>
          <w:rFonts w:ascii="Arial" w:hAnsi="Arial" w:cs="Arial"/>
          <w:sz w:val="22"/>
          <w:szCs w:val="22"/>
        </w:rPr>
        <w:t>由于金融市场存在波动性，投资者投资本</w:t>
      </w:r>
      <w:r>
        <w:rPr>
          <w:rFonts w:hint="eastAsia" w:ascii="Arial" w:hAnsi="Arial" w:cs="Arial"/>
          <w:sz w:val="22"/>
          <w:szCs w:val="22"/>
        </w:rPr>
        <w:t>理财</w:t>
      </w:r>
      <w:r>
        <w:rPr>
          <w:rFonts w:ascii="Arial" w:hAnsi="Arial" w:cs="Arial"/>
          <w:sz w:val="22"/>
          <w:szCs w:val="22"/>
        </w:rPr>
        <w:t>产品将承担一定投资资产市值下跌的市场风险。</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流动性风险：</w:t>
      </w:r>
      <w:r>
        <w:rPr>
          <w:rFonts w:hint="eastAsia" w:ascii="Arial" w:hAnsi="Arial" w:cs="Arial"/>
          <w:b/>
          <w:sz w:val="22"/>
          <w:szCs w:val="22"/>
        </w:rPr>
        <w:t>在产品存续期间本理财产品的投资者可能面临相应的流动性风险，包括但不限于以下情形：一是投资者不能随时提前终止本理财产品，在本产品存续期内的非开放日，投资者不得赎回；二是在开放日，可能因达到本理财产品说明书中约定的限制赎回情况，导致投资者在需要资金时无法随时变现，并可能导致客户丧失其他投资机会；三是本理财产品投资金融市场或资产标的出现流动性不足情况下，不能迅速转变成现金或转变成现金会对资产价格造成重大不利影响，进而造成产品净值波动、投资者承担赎回成本、实际赎回金额下降或无法及时获取赎回款项的风险。</w:t>
      </w:r>
    </w:p>
    <w:p>
      <w:pPr>
        <w:pStyle w:val="10"/>
        <w:spacing w:line="360" w:lineRule="auto"/>
        <w:ind w:left="420" w:firstLine="0" w:firstLineChars="0"/>
        <w:rPr>
          <w:rFonts w:ascii="Arial" w:hAnsi="Arial" w:cs="Arial"/>
          <w:sz w:val="22"/>
          <w:szCs w:val="22"/>
        </w:rPr>
      </w:pPr>
      <w:r>
        <w:rPr>
          <w:rFonts w:hint="eastAsia" w:ascii="Arial" w:hAnsi="Arial" w:cs="Arial"/>
          <w:sz w:val="22"/>
          <w:szCs w:val="22"/>
        </w:rPr>
        <w:t>（</w:t>
      </w:r>
      <w:r>
        <w:rPr>
          <w:rFonts w:ascii="Arial" w:hAnsi="Arial" w:cs="Arial"/>
          <w:sz w:val="22"/>
          <w:szCs w:val="22"/>
        </w:rPr>
        <w:t>1</w:t>
      </w:r>
      <w:r>
        <w:rPr>
          <w:rFonts w:hint="eastAsia" w:ascii="Arial" w:hAnsi="Arial" w:cs="Arial"/>
          <w:sz w:val="22"/>
          <w:szCs w:val="22"/>
        </w:rPr>
        <w:t>）本理财产品的申购、赎回安排</w:t>
      </w:r>
    </w:p>
    <w:p>
      <w:pPr>
        <w:pStyle w:val="10"/>
        <w:spacing w:line="360" w:lineRule="auto"/>
        <w:ind w:left="420" w:firstLine="429" w:firstLineChars="195"/>
        <w:rPr>
          <w:rFonts w:ascii="Arial" w:hAnsi="Arial" w:cs="Arial"/>
          <w:sz w:val="22"/>
          <w:szCs w:val="22"/>
        </w:rPr>
      </w:pPr>
      <w:r>
        <w:rPr>
          <w:rFonts w:ascii="Arial" w:hAnsi="Arial" w:cs="Arial"/>
          <w:sz w:val="22"/>
          <w:szCs w:val="22"/>
        </w:rPr>
        <w:t>本理财产品存续期间，投资者只能按《产品说明书》规定进行申购与赎回。本理财产品存续期间，有可能会发生《产品说明书》中所列示的拒绝或暂停接受申购、赎回申请的情形，此时平安理财有权拒绝或暂停受理申购、赎回申请，由此可能影响投资者的资金安排。</w:t>
      </w:r>
      <w:r>
        <w:rPr>
          <w:rFonts w:hint="eastAsia" w:ascii="Arial" w:hAnsi="Arial" w:cs="Arial"/>
          <w:b/>
          <w:sz w:val="22"/>
          <w:szCs w:val="22"/>
        </w:rPr>
        <w:t>本理财产品每笔认/申购份额须最短持有</w:t>
      </w:r>
      <w:r>
        <w:rPr>
          <w:rFonts w:hint="eastAsia" w:ascii="Arial" w:hAnsi="Arial" w:cs="Arial"/>
          <w:b/>
          <w:sz w:val="22"/>
          <w:szCs w:val="22"/>
          <w:lang w:val="en-US" w:eastAsia="zh-CN"/>
        </w:rPr>
        <w:t>14</w:t>
      </w:r>
      <w:r>
        <w:rPr>
          <w:rFonts w:ascii="Arial" w:hAnsi="Arial" w:cs="Arial"/>
          <w:b/>
          <w:sz w:val="22"/>
          <w:szCs w:val="22"/>
        </w:rPr>
        <w:t>个自然日</w:t>
      </w:r>
      <w:r>
        <w:rPr>
          <w:rFonts w:hint="eastAsia" w:ascii="Arial" w:hAnsi="Arial" w:cs="Arial"/>
          <w:b/>
          <w:sz w:val="22"/>
          <w:szCs w:val="22"/>
        </w:rPr>
        <w:t>，最短持有期间不接受任何形式的违约赎回申请；由于最短持有期结束日遇非开放日顺延至下一开放日等原因，投资者最短持有期实际上可能长于</w:t>
      </w:r>
      <w:r>
        <w:rPr>
          <w:rFonts w:hint="eastAsia" w:ascii="Arial" w:hAnsi="Arial" w:cs="Arial"/>
          <w:b/>
          <w:sz w:val="22"/>
          <w:szCs w:val="22"/>
          <w:lang w:val="en-US" w:eastAsia="zh-CN"/>
        </w:rPr>
        <w:t>14</w:t>
      </w:r>
      <w:r>
        <w:rPr>
          <w:rFonts w:ascii="Arial" w:hAnsi="Arial" w:cs="Arial"/>
          <w:b/>
          <w:sz w:val="22"/>
          <w:szCs w:val="22"/>
        </w:rPr>
        <w:t>个自然日</w:t>
      </w:r>
      <w:r>
        <w:rPr>
          <w:rFonts w:hint="eastAsia" w:ascii="Arial" w:hAnsi="Arial" w:cs="Arial"/>
          <w:b/>
          <w:sz w:val="22"/>
          <w:szCs w:val="22"/>
        </w:rPr>
        <w:t>。</w:t>
      </w:r>
      <w:r>
        <w:rPr>
          <w:rFonts w:hint="eastAsia" w:ascii="Arial" w:hAnsi="Arial" w:cs="Arial"/>
          <w:sz w:val="22"/>
          <w:szCs w:val="22"/>
        </w:rPr>
        <w:t>除外部不可抗力及市场交易安排等情形，提示投资者重点关注以下可能出现拒绝或暂停接受申购、赎回申请的情形：</w:t>
      </w:r>
    </w:p>
    <w:p>
      <w:pPr>
        <w:pStyle w:val="10"/>
        <w:spacing w:line="360" w:lineRule="auto"/>
        <w:ind w:left="420" w:firstLine="440"/>
        <w:rPr>
          <w:rFonts w:ascii="Arial" w:hAnsi="Arial" w:cs="Arial"/>
          <w:sz w:val="22"/>
          <w:szCs w:val="22"/>
        </w:rPr>
      </w:pPr>
      <w:r>
        <w:rPr>
          <w:rFonts w:hint="eastAsia" w:ascii="Arial" w:hAnsi="Arial" w:cs="Arial"/>
          <w:sz w:val="22"/>
          <w:szCs w:val="22"/>
        </w:rPr>
        <w:t>一是投资者申购超过本理财产品说明书约定的发行规模上限、单笔认/申购上限、单一投资者持有上限等；</w:t>
      </w:r>
    </w:p>
    <w:p>
      <w:pPr>
        <w:pStyle w:val="10"/>
        <w:spacing w:line="360" w:lineRule="auto"/>
        <w:ind w:left="420" w:firstLine="440"/>
        <w:rPr>
          <w:rFonts w:ascii="Arial" w:hAnsi="Arial" w:cs="Arial"/>
          <w:sz w:val="22"/>
          <w:szCs w:val="22"/>
        </w:rPr>
      </w:pPr>
      <w:r>
        <w:rPr>
          <w:rFonts w:hint="eastAsia" w:ascii="Arial" w:hAnsi="Arial" w:cs="Arial"/>
          <w:sz w:val="22"/>
          <w:szCs w:val="22"/>
        </w:rPr>
        <w:t>二是本理财产品管理人接受某笔或者某些申购申请有可能导致单一投资者持有理财产品份额的比例达到或者超过50%，或者变相规避50%集中度的情形；</w:t>
      </w:r>
    </w:p>
    <w:p>
      <w:pPr>
        <w:pStyle w:val="10"/>
        <w:spacing w:line="360" w:lineRule="auto"/>
        <w:ind w:left="420" w:firstLine="440"/>
        <w:rPr>
          <w:rFonts w:ascii="Arial" w:hAnsi="Arial" w:cs="Arial"/>
          <w:sz w:val="22"/>
          <w:szCs w:val="22"/>
        </w:rPr>
      </w:pPr>
      <w:r>
        <w:rPr>
          <w:rFonts w:hint="eastAsia" w:ascii="Arial" w:hAnsi="Arial" w:cs="Arial"/>
          <w:sz w:val="22"/>
          <w:szCs w:val="22"/>
        </w:rPr>
        <w:t>三是《产品说明书》约定暂停估值情形时。</w:t>
      </w:r>
    </w:p>
    <w:p>
      <w:pPr>
        <w:pStyle w:val="10"/>
        <w:spacing w:line="360" w:lineRule="auto"/>
        <w:ind w:left="420" w:firstLine="440"/>
        <w:rPr>
          <w:rFonts w:ascii="Arial" w:hAnsi="Arial" w:cs="Arial"/>
          <w:sz w:val="22"/>
          <w:szCs w:val="22"/>
        </w:rPr>
      </w:pPr>
      <w:r>
        <w:rPr>
          <w:rFonts w:hint="eastAsia" w:ascii="Arial" w:hAnsi="Arial" w:cs="Arial"/>
          <w:sz w:val="22"/>
          <w:szCs w:val="22"/>
        </w:rPr>
        <w:t>四是本理财产品发生产品说明书约定的巨额赎回情形。即本理财产品净赎回申请份额（有效赎回申请份额总数扣除有效申购申请份额总数后的份额）超过本理财产品开放日前一日份额的10%时。</w:t>
      </w:r>
    </w:p>
    <w:p>
      <w:pPr>
        <w:pStyle w:val="10"/>
        <w:spacing w:line="360" w:lineRule="auto"/>
        <w:ind w:left="420" w:firstLine="440"/>
        <w:rPr>
          <w:rFonts w:ascii="Arial" w:hAnsi="Arial" w:cs="Arial"/>
          <w:sz w:val="22"/>
          <w:szCs w:val="22"/>
        </w:rPr>
      </w:pPr>
      <w:r>
        <w:rPr>
          <w:rFonts w:hint="eastAsia" w:ascii="Arial" w:hAnsi="Arial" w:cs="Arial"/>
          <w:sz w:val="22"/>
          <w:szCs w:val="22"/>
        </w:rPr>
        <w:t>具体措施详见本《产品说明书》第四部分 “四、产品交易规则”。</w:t>
      </w:r>
    </w:p>
    <w:p>
      <w:pPr>
        <w:pStyle w:val="10"/>
        <w:spacing w:line="360" w:lineRule="auto"/>
        <w:ind w:left="420" w:firstLine="0" w:firstLineChars="0"/>
        <w:rPr>
          <w:rFonts w:ascii="Arial" w:hAnsi="Arial" w:cs="Arial"/>
          <w:sz w:val="22"/>
          <w:szCs w:val="22"/>
        </w:rPr>
      </w:pPr>
      <w:r>
        <w:rPr>
          <w:rFonts w:hint="eastAsia" w:ascii="Arial" w:hAnsi="Arial" w:cs="Arial"/>
          <w:sz w:val="22"/>
          <w:szCs w:val="22"/>
        </w:rPr>
        <w:t>（2）主要拟投资市场、资产的流动性风险评估</w:t>
      </w:r>
    </w:p>
    <w:p>
      <w:pPr>
        <w:pStyle w:val="10"/>
        <w:spacing w:line="360" w:lineRule="auto"/>
        <w:ind w:left="420" w:firstLine="440"/>
        <w:rPr>
          <w:rFonts w:ascii="Arial" w:hAnsi="Arial" w:cs="Arial"/>
          <w:sz w:val="22"/>
          <w:szCs w:val="22"/>
        </w:rPr>
      </w:pPr>
      <w:r>
        <w:rPr>
          <w:rFonts w:ascii="Arial" w:hAnsi="Arial" w:cs="Arial"/>
          <w:sz w:val="22"/>
          <w:szCs w:val="22"/>
        </w:rPr>
        <w:t>1</w:t>
      </w:r>
      <w:r>
        <w:rPr>
          <w:rFonts w:hint="eastAsia" w:ascii="Arial" w:hAnsi="Arial" w:cs="Arial"/>
          <w:sz w:val="22"/>
          <w:szCs w:val="22"/>
        </w:rPr>
        <w:t>）投资市场的流动性风险</w:t>
      </w:r>
    </w:p>
    <w:p>
      <w:pPr>
        <w:pStyle w:val="10"/>
        <w:spacing w:line="360" w:lineRule="auto"/>
        <w:ind w:left="420" w:firstLine="440"/>
        <w:rPr>
          <w:rFonts w:ascii="Arial" w:hAnsi="Arial" w:cs="Arial"/>
          <w:sz w:val="22"/>
          <w:szCs w:val="22"/>
        </w:rPr>
      </w:pPr>
      <w:r>
        <w:rPr>
          <w:rFonts w:hint="eastAsia" w:ascii="Arial" w:hAnsi="Arial" w:cs="Arial"/>
          <w:sz w:val="22"/>
          <w:szCs w:val="22"/>
        </w:rPr>
        <w:t>本理财产品</w:t>
      </w:r>
      <w:r>
        <w:rPr>
          <w:rFonts w:hint="eastAsia" w:ascii="Arial" w:hAnsi="Arial" w:cs="Arial"/>
          <w:sz w:val="22"/>
          <w:szCs w:val="22"/>
          <w:lang w:val="en-US" w:eastAsia="zh-CN"/>
        </w:rPr>
        <w:t>可</w:t>
      </w:r>
      <w:r>
        <w:rPr>
          <w:rFonts w:hint="eastAsia" w:ascii="Arial" w:hAnsi="Arial" w:cs="Arial"/>
          <w:sz w:val="22"/>
          <w:szCs w:val="22"/>
        </w:rPr>
        <w:t>投资于</w:t>
      </w:r>
      <w:r>
        <w:rPr>
          <w:rFonts w:hint="eastAsia" w:ascii="Arial" w:hAnsi="Arial" w:cs="Arial"/>
          <w:sz w:val="22"/>
        </w:rPr>
        <w:t>货币市场工具、标准化债券、优先股、衍生品类金融工具（本理财产品管理人获得相应的衍生产品交易资格后将可能直接投资金融衍生品类资产）等</w:t>
      </w:r>
      <w:r>
        <w:rPr>
          <w:rFonts w:hint="eastAsia" w:ascii="Arial" w:hAnsi="Arial" w:cs="Arial"/>
          <w:sz w:val="22"/>
          <w:szCs w:val="22"/>
        </w:rPr>
        <w:t>。上述资产大部分存在规范的交易场所，运作时间长，市场透明度较高，运作方式规范，历史流动性状况良好，正常情况下能够及时满足资产变现需求，保证理财产品按时应对赎回要求。极端市场情况下，上述资产可能出现流动性不足，导致理财产品资产无法变现，从而影响投资者按时收到赎回款项。当遇到极端市场情况时，理财产品管理人会按照理财产品合同及相关法律法规要求，及时启动流动性风险应对措施，保护投资者的合法权益。</w:t>
      </w:r>
    </w:p>
    <w:p>
      <w:pPr>
        <w:spacing w:line="360" w:lineRule="auto"/>
        <w:ind w:firstLine="858" w:firstLineChars="390"/>
        <w:rPr>
          <w:rFonts w:ascii="Arial" w:hAnsi="Arial" w:cs="Arial"/>
          <w:sz w:val="22"/>
        </w:rPr>
      </w:pPr>
      <w:r>
        <w:rPr>
          <w:rFonts w:hint="eastAsia" w:ascii="Arial" w:hAnsi="Arial" w:cs="Arial"/>
          <w:sz w:val="22"/>
        </w:rPr>
        <w:t>2）投资资产的流动性风险</w:t>
      </w:r>
    </w:p>
    <w:p>
      <w:pPr>
        <w:pStyle w:val="10"/>
        <w:spacing w:line="360" w:lineRule="auto"/>
        <w:ind w:left="420" w:firstLine="429" w:firstLineChars="195"/>
        <w:rPr>
          <w:rFonts w:ascii="Arial" w:hAnsi="Arial" w:cs="Arial"/>
          <w:sz w:val="22"/>
          <w:szCs w:val="22"/>
        </w:rPr>
      </w:pPr>
      <w:r>
        <w:rPr>
          <w:rFonts w:hint="eastAsia" w:ascii="Arial" w:hAnsi="Arial" w:cs="Arial"/>
          <w:sz w:val="22"/>
          <w:szCs w:val="22"/>
        </w:rPr>
        <w:t>本理财产品针对流动性较低资产的投资进行了严格的限制，以降低理财产品的流动性风险：本理财产品直接投资于流动性受限资产的市值在开放日不得超过该产品资产净值的15%。本理财产品持有的7个工作日可变现资产的可变现价值，在开放日前一工作日</w:t>
      </w:r>
      <w:r>
        <w:rPr>
          <w:rFonts w:hint="eastAsia" w:ascii="Arial" w:hAnsi="Arial" w:cs="Arial"/>
          <w:sz w:val="22"/>
        </w:rPr>
        <w:t>内，不低</w:t>
      </w:r>
      <w:r>
        <w:rPr>
          <w:rFonts w:hint="eastAsia" w:ascii="Arial" w:hAnsi="Arial" w:cs="Arial"/>
          <w:sz w:val="22"/>
          <w:szCs w:val="22"/>
        </w:rPr>
        <w:t>于该产品资产净值的10%。本理财产品的特定投资标的资产流动性风险，请参见本风险揭示书“16 特定投资标的风险”。</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管理风险：</w:t>
      </w:r>
      <w:r>
        <w:rPr>
          <w:rFonts w:ascii="Arial" w:hAnsi="Arial" w:cs="Arial"/>
          <w:sz w:val="22"/>
          <w:szCs w:val="22"/>
        </w:rPr>
        <w:t>由于</w:t>
      </w:r>
      <w:r>
        <w:rPr>
          <w:rFonts w:hint="eastAsia" w:ascii="Arial" w:hAnsi="Arial" w:cs="Arial"/>
          <w:sz w:val="22"/>
          <w:szCs w:val="22"/>
        </w:rPr>
        <w:t>管理人</w:t>
      </w:r>
      <w:r>
        <w:rPr>
          <w:rFonts w:ascii="Arial" w:hAnsi="Arial" w:cs="Arial"/>
          <w:sz w:val="22"/>
          <w:szCs w:val="22"/>
        </w:rPr>
        <w:t>受经验、技能等因素的限制，可能会影响本理财产品的管理，导致本理财产品项下的理财收益降低甚至理财本金遭受损失。</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再投资风险：</w:t>
      </w:r>
      <w:r>
        <w:rPr>
          <w:rFonts w:ascii="Arial" w:hAnsi="Arial" w:cs="Arial"/>
          <w:sz w:val="22"/>
          <w:szCs w:val="22"/>
        </w:rPr>
        <w:t>由于</w:t>
      </w:r>
      <w:r>
        <w:rPr>
          <w:rFonts w:hint="eastAsia" w:ascii="Arial" w:hAnsi="Arial" w:cs="Arial"/>
          <w:sz w:val="22"/>
          <w:szCs w:val="22"/>
        </w:rPr>
        <w:t>管理人</w:t>
      </w:r>
      <w:r>
        <w:rPr>
          <w:rFonts w:ascii="Arial" w:hAnsi="Arial" w:cs="Arial"/>
          <w:sz w:val="22"/>
          <w:szCs w:val="22"/>
        </w:rPr>
        <w:t>有权根据市场情况、实际投资情况、产品运营情况等</w:t>
      </w:r>
      <w:r>
        <w:rPr>
          <w:rFonts w:hint="eastAsia" w:ascii="Arial" w:hAnsi="Arial" w:cs="Arial"/>
          <w:sz w:val="22"/>
          <w:szCs w:val="22"/>
        </w:rPr>
        <w:t>因素</w:t>
      </w:r>
      <w:r>
        <w:rPr>
          <w:rFonts w:ascii="Arial" w:hAnsi="Arial" w:cs="Arial"/>
          <w:sz w:val="22"/>
          <w:szCs w:val="22"/>
        </w:rPr>
        <w:t>提前终止</w:t>
      </w:r>
      <w:r>
        <w:rPr>
          <w:rFonts w:hint="eastAsia" w:ascii="Arial" w:hAnsi="Arial" w:cs="Arial"/>
          <w:sz w:val="22"/>
          <w:szCs w:val="22"/>
        </w:rPr>
        <w:t>本</w:t>
      </w:r>
      <w:r>
        <w:rPr>
          <w:rFonts w:ascii="Arial" w:hAnsi="Arial" w:cs="Arial"/>
          <w:sz w:val="22"/>
          <w:szCs w:val="22"/>
        </w:rPr>
        <w:t>理财产品，因市场利率下滑，投资者可能面临本金和收益再投资收益率降低的风险。</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信息传递风险：</w:t>
      </w:r>
      <w:r>
        <w:rPr>
          <w:rFonts w:hint="eastAsia" w:ascii="Arial" w:hAnsi="Arial" w:cs="Arial"/>
          <w:sz w:val="22"/>
          <w:szCs w:val="22"/>
        </w:rPr>
        <w:t>对于本理财</w:t>
      </w:r>
      <w:r>
        <w:rPr>
          <w:rFonts w:ascii="Arial" w:hAnsi="Arial" w:cs="Arial"/>
          <w:sz w:val="22"/>
          <w:szCs w:val="22"/>
        </w:rPr>
        <w:t>产品份额净值、产品提前终止、产品清算等事项，</w:t>
      </w:r>
      <w:r>
        <w:rPr>
          <w:rFonts w:hint="eastAsia" w:ascii="Arial" w:hAnsi="Arial" w:cs="Arial"/>
          <w:sz w:val="22"/>
          <w:szCs w:val="22"/>
        </w:rPr>
        <w:t>管理人</w:t>
      </w:r>
      <w:r>
        <w:rPr>
          <w:rFonts w:ascii="Arial" w:hAnsi="Arial" w:cs="Arial"/>
          <w:sz w:val="22"/>
          <w:szCs w:val="22"/>
        </w:rPr>
        <w:t>按照《产品说明书》有关“信息披露”的约定，发布</w:t>
      </w:r>
      <w:r>
        <w:rPr>
          <w:rFonts w:hint="eastAsia" w:ascii="Arial" w:hAnsi="Arial" w:cs="Arial"/>
          <w:sz w:val="22"/>
          <w:szCs w:val="22"/>
        </w:rPr>
        <w:t>本</w:t>
      </w:r>
      <w:r>
        <w:rPr>
          <w:rFonts w:ascii="Arial" w:hAnsi="Arial" w:cs="Arial"/>
          <w:sz w:val="22"/>
          <w:szCs w:val="22"/>
        </w:rPr>
        <w:t>理财产品的</w:t>
      </w:r>
      <w:r>
        <w:rPr>
          <w:rFonts w:hint="eastAsia" w:ascii="Arial" w:hAnsi="Arial" w:cs="Arial"/>
          <w:sz w:val="22"/>
          <w:szCs w:val="22"/>
        </w:rPr>
        <w:t>相关公告</w:t>
      </w:r>
      <w:r>
        <w:rPr>
          <w:rFonts w:ascii="Arial" w:hAnsi="Arial" w:cs="Arial"/>
          <w:sz w:val="22"/>
          <w:szCs w:val="22"/>
        </w:rPr>
        <w:t>，投资者应及时查询。如果投资者未及时查询，或由于通讯故障以及其他不可抗力等因素的影响使得投资者无法及时了解</w:t>
      </w:r>
      <w:r>
        <w:rPr>
          <w:rFonts w:hint="eastAsia" w:ascii="Arial" w:hAnsi="Arial" w:cs="Arial"/>
          <w:sz w:val="22"/>
          <w:szCs w:val="22"/>
        </w:rPr>
        <w:t>本理财</w:t>
      </w:r>
      <w:r>
        <w:rPr>
          <w:rFonts w:ascii="Arial" w:hAnsi="Arial" w:cs="Arial"/>
          <w:sz w:val="22"/>
          <w:szCs w:val="22"/>
        </w:rPr>
        <w:t>产品信息，因此产生的责任和风险由投资者自行承担。</w:t>
      </w:r>
      <w:r>
        <w:rPr>
          <w:rFonts w:ascii="Arial" w:hAnsi="Arial" w:cs="Arial"/>
          <w:b/>
          <w:sz w:val="22"/>
          <w:szCs w:val="22"/>
        </w:rPr>
        <w:t>另外，投资者预留在</w:t>
      </w:r>
      <w:r>
        <w:rPr>
          <w:rFonts w:hint="eastAsia" w:ascii="Arial" w:hAnsi="Arial" w:cs="Arial"/>
          <w:b/>
          <w:sz w:val="22"/>
          <w:szCs w:val="22"/>
          <w:lang w:val="en-US" w:eastAsia="zh-CN"/>
        </w:rPr>
        <w:t>管理人</w:t>
      </w:r>
      <w:r>
        <w:rPr>
          <w:rFonts w:ascii="Arial" w:hAnsi="Arial" w:cs="Arial"/>
          <w:b/>
          <w:sz w:val="22"/>
          <w:szCs w:val="22"/>
        </w:rPr>
        <w:t>的有效联系方式变更的，应及时通知</w:t>
      </w:r>
      <w:r>
        <w:rPr>
          <w:rFonts w:hint="eastAsia" w:ascii="Arial" w:hAnsi="Arial" w:cs="Arial"/>
          <w:b/>
          <w:sz w:val="22"/>
          <w:szCs w:val="22"/>
          <w:lang w:val="en-US" w:eastAsia="zh-CN"/>
        </w:rPr>
        <w:t>管理人</w:t>
      </w:r>
      <w:r>
        <w:rPr>
          <w:rFonts w:ascii="Arial" w:hAnsi="Arial" w:cs="Arial"/>
          <w:b/>
          <w:sz w:val="22"/>
          <w:szCs w:val="22"/>
        </w:rPr>
        <w:t>。如因投资者未及时告知</w:t>
      </w:r>
      <w:r>
        <w:rPr>
          <w:rFonts w:hint="eastAsia" w:ascii="Arial" w:hAnsi="Arial" w:cs="Arial"/>
          <w:b/>
          <w:sz w:val="22"/>
          <w:szCs w:val="22"/>
          <w:lang w:val="en-US" w:eastAsia="zh-CN"/>
        </w:rPr>
        <w:t>管理人</w:t>
      </w:r>
      <w:r>
        <w:rPr>
          <w:rFonts w:ascii="Arial" w:hAnsi="Arial" w:cs="Arial"/>
          <w:b/>
          <w:sz w:val="22"/>
          <w:szCs w:val="22"/>
        </w:rPr>
        <w:t>联系方式变更的，</w:t>
      </w:r>
      <w:r>
        <w:rPr>
          <w:rFonts w:hint="eastAsia" w:ascii="Arial" w:hAnsi="Arial" w:cs="Arial"/>
          <w:b/>
          <w:sz w:val="22"/>
          <w:szCs w:val="22"/>
          <w:lang w:val="en-US" w:eastAsia="zh-CN"/>
        </w:rPr>
        <w:t>管理人</w:t>
      </w:r>
      <w:r>
        <w:rPr>
          <w:rFonts w:ascii="Arial" w:hAnsi="Arial" w:cs="Arial"/>
          <w:b/>
          <w:sz w:val="22"/>
          <w:szCs w:val="22"/>
        </w:rPr>
        <w:t>将可能在需要联系投资者时无法及时联系上，并可能会由此影响投资者的投资决策，由此而产生的责任和风险由投资者自行承担。</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政策法律风险：</w:t>
      </w:r>
      <w:r>
        <w:rPr>
          <w:rFonts w:ascii="Arial" w:hAnsi="Arial" w:cs="Arial"/>
          <w:sz w:val="22"/>
          <w:szCs w:val="22"/>
        </w:rPr>
        <w:t>本理财产品是针对当前的相关法律法规和政策设计的。如果相关法律法规或政策发生变化，可能影响</w:t>
      </w:r>
      <w:r>
        <w:rPr>
          <w:rFonts w:hint="eastAsia" w:ascii="Arial" w:hAnsi="Arial" w:cs="Arial"/>
          <w:sz w:val="22"/>
          <w:szCs w:val="22"/>
        </w:rPr>
        <w:t>本</w:t>
      </w:r>
      <w:r>
        <w:rPr>
          <w:rFonts w:ascii="Arial" w:hAnsi="Arial" w:cs="Arial"/>
          <w:sz w:val="22"/>
          <w:szCs w:val="22"/>
        </w:rPr>
        <w:t>理财产品的受理、投资、偿还等的正常进行，甚至导致</w:t>
      </w:r>
      <w:r>
        <w:rPr>
          <w:rFonts w:hint="eastAsia" w:ascii="Arial" w:hAnsi="Arial" w:cs="Arial"/>
          <w:sz w:val="22"/>
          <w:szCs w:val="22"/>
        </w:rPr>
        <w:t>本</w:t>
      </w:r>
      <w:r>
        <w:rPr>
          <w:rFonts w:ascii="Arial" w:hAnsi="Arial" w:cs="Arial"/>
          <w:sz w:val="22"/>
          <w:szCs w:val="22"/>
        </w:rPr>
        <w:t>理财产品收益降低或提前终止。</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理财产品发行不成功的风险：</w:t>
      </w:r>
      <w:r>
        <w:rPr>
          <w:rFonts w:ascii="Arial" w:hAnsi="Arial" w:cs="Arial"/>
          <w:sz w:val="22"/>
          <w:szCs w:val="22"/>
        </w:rPr>
        <w:t>认购期结束，如</w:t>
      </w:r>
      <w:r>
        <w:rPr>
          <w:rFonts w:hint="eastAsia" w:ascii="Arial" w:hAnsi="Arial" w:cs="Arial"/>
          <w:sz w:val="22"/>
          <w:szCs w:val="22"/>
        </w:rPr>
        <w:t>本</w:t>
      </w:r>
      <w:r>
        <w:rPr>
          <w:rFonts w:ascii="Arial" w:hAnsi="Arial" w:cs="Arial"/>
          <w:sz w:val="22"/>
          <w:szCs w:val="22"/>
        </w:rPr>
        <w:t>理财产品认购总金额未达到产品设定规模，或市场发生剧烈波动且经</w:t>
      </w:r>
      <w:r>
        <w:rPr>
          <w:rFonts w:hint="eastAsia" w:ascii="Arial" w:hAnsi="Arial" w:cs="Arial"/>
          <w:sz w:val="22"/>
          <w:szCs w:val="22"/>
        </w:rPr>
        <w:t>管理人</w:t>
      </w:r>
      <w:r>
        <w:rPr>
          <w:rFonts w:ascii="Arial" w:hAnsi="Arial" w:cs="Arial"/>
          <w:sz w:val="22"/>
          <w:szCs w:val="22"/>
        </w:rPr>
        <w:t>合理判断难以按照《产品说明书》规定向客户提供本理财产品，则</w:t>
      </w:r>
      <w:r>
        <w:rPr>
          <w:rFonts w:hint="eastAsia" w:ascii="Arial" w:hAnsi="Arial" w:cs="Arial"/>
          <w:sz w:val="22"/>
          <w:szCs w:val="22"/>
        </w:rPr>
        <w:t>管理人</w:t>
      </w:r>
      <w:r>
        <w:rPr>
          <w:rFonts w:ascii="Arial" w:hAnsi="Arial" w:cs="Arial"/>
          <w:sz w:val="22"/>
          <w:szCs w:val="22"/>
        </w:rPr>
        <w:t>有权宣布本理财产品不成立。</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操作风险：</w:t>
      </w:r>
      <w:r>
        <w:rPr>
          <w:rFonts w:ascii="Arial" w:hAnsi="Arial" w:cs="Arial"/>
          <w:sz w:val="22"/>
          <w:szCs w:val="22"/>
        </w:rPr>
        <w:t>由于内部流程、人员和系统的不合规或失败、或者外部事件而导致损失的风险。包括但不限于内外部欺诈、就业制度和工作场所安全原因、客户、产品和业务活动原因、执行、交割和流程管理原因、营业中断和信息技术系统故障等。</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不可抗力风险：</w:t>
      </w:r>
      <w:r>
        <w:rPr>
          <w:rFonts w:ascii="Arial" w:hAnsi="Arial" w:cs="Arial"/>
          <w:sz w:val="22"/>
          <w:szCs w:val="22"/>
        </w:rPr>
        <w:t>指可能出现的自然灾害、战争等不可抗力因素将严重影响金融市场的正常运行，从而导致</w:t>
      </w:r>
      <w:r>
        <w:rPr>
          <w:rFonts w:hint="eastAsia" w:ascii="Arial" w:hAnsi="Arial" w:cs="Arial"/>
          <w:sz w:val="22"/>
          <w:szCs w:val="22"/>
        </w:rPr>
        <w:t>本</w:t>
      </w:r>
      <w:r>
        <w:rPr>
          <w:rFonts w:ascii="Arial" w:hAnsi="Arial" w:cs="Arial"/>
          <w:sz w:val="22"/>
          <w:szCs w:val="22"/>
        </w:rPr>
        <w:t>理财</w:t>
      </w:r>
      <w:r>
        <w:rPr>
          <w:rFonts w:hint="eastAsia" w:ascii="Arial" w:hAnsi="Arial" w:cs="Arial"/>
          <w:sz w:val="22"/>
          <w:szCs w:val="22"/>
        </w:rPr>
        <w:t>产品</w:t>
      </w:r>
      <w:r>
        <w:rPr>
          <w:rFonts w:ascii="Arial" w:hAnsi="Arial" w:cs="Arial"/>
          <w:sz w:val="22"/>
          <w:szCs w:val="22"/>
        </w:rPr>
        <w:t>收益降低或损失，</w:t>
      </w:r>
      <w:r>
        <w:rPr>
          <w:rFonts w:ascii="Arial" w:hAnsi="Arial" w:cs="Arial"/>
          <w:b/>
          <w:sz w:val="22"/>
          <w:szCs w:val="22"/>
        </w:rPr>
        <w:t>甚至影响</w:t>
      </w:r>
      <w:r>
        <w:rPr>
          <w:rFonts w:hint="eastAsia" w:ascii="Arial" w:hAnsi="Arial" w:cs="Arial"/>
          <w:b/>
          <w:sz w:val="22"/>
          <w:szCs w:val="22"/>
        </w:rPr>
        <w:t>本</w:t>
      </w:r>
      <w:r>
        <w:rPr>
          <w:rFonts w:ascii="Arial" w:hAnsi="Arial" w:cs="Arial"/>
          <w:b/>
          <w:sz w:val="22"/>
          <w:szCs w:val="22"/>
        </w:rPr>
        <w:t>理财产品的受理、投资、偿还等正常进行的风险。</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信用风险：</w:t>
      </w:r>
      <w:r>
        <w:rPr>
          <w:rFonts w:ascii="Arial" w:hAnsi="Arial" w:cs="Arial"/>
          <w:sz w:val="22"/>
          <w:szCs w:val="22"/>
        </w:rPr>
        <w:t>本理财产品</w:t>
      </w:r>
      <w:r>
        <w:rPr>
          <w:rFonts w:hint="eastAsia" w:ascii="Arial" w:hAnsi="Arial" w:cs="Arial"/>
          <w:sz w:val="22"/>
          <w:szCs w:val="22"/>
        </w:rPr>
        <w:t>可</w:t>
      </w:r>
      <w:r>
        <w:rPr>
          <w:rFonts w:ascii="Arial" w:hAnsi="Arial" w:cs="Arial"/>
          <w:sz w:val="22"/>
          <w:szCs w:val="22"/>
        </w:rPr>
        <w:t>投资于标准化债权类</w:t>
      </w:r>
      <w:r>
        <w:rPr>
          <w:rFonts w:hint="eastAsia" w:ascii="Arial" w:hAnsi="Arial" w:cs="Arial"/>
          <w:sz w:val="22"/>
          <w:szCs w:val="22"/>
        </w:rPr>
        <w:t>资产、优先股及衍生品类金融工具等</w:t>
      </w:r>
      <w:r>
        <w:rPr>
          <w:rFonts w:ascii="Arial" w:hAnsi="Arial" w:cs="Arial"/>
          <w:sz w:val="22"/>
          <w:szCs w:val="22"/>
        </w:rPr>
        <w:t>资产，因此有可能由于发行主体或交易对手信用状况恶化导致交易违约，致使本理财产品到期实际收益不足业绩比较基准或者本金损失，</w:t>
      </w:r>
      <w:r>
        <w:rPr>
          <w:rFonts w:ascii="Arial" w:hAnsi="Arial" w:cs="Arial"/>
          <w:b/>
          <w:sz w:val="22"/>
          <w:szCs w:val="22"/>
        </w:rPr>
        <w:t>该种情况下，</w:t>
      </w:r>
      <w:r>
        <w:rPr>
          <w:rFonts w:hint="eastAsia" w:ascii="Arial" w:hAnsi="Arial" w:cs="Arial"/>
          <w:b/>
          <w:sz w:val="22"/>
          <w:szCs w:val="22"/>
        </w:rPr>
        <w:t>管理人</w:t>
      </w:r>
      <w:r>
        <w:rPr>
          <w:rFonts w:ascii="Arial" w:hAnsi="Arial" w:cs="Arial"/>
          <w:b/>
          <w:sz w:val="22"/>
          <w:szCs w:val="22"/>
        </w:rPr>
        <w:t>将按照投资实际收益情况，并以资产变现实际收到的资金为限支付投资者收益</w:t>
      </w:r>
      <w:r>
        <w:rPr>
          <w:rFonts w:hint="eastAsia" w:ascii="Arial" w:hAnsi="Arial" w:cs="Arial"/>
          <w:b/>
          <w:sz w:val="22"/>
          <w:szCs w:val="22"/>
        </w:rPr>
        <w:t>（如有）</w:t>
      </w:r>
      <w:r>
        <w:rPr>
          <w:rFonts w:ascii="Arial" w:hAnsi="Arial" w:cs="Arial"/>
          <w:b/>
          <w:sz w:val="22"/>
          <w:szCs w:val="22"/>
        </w:rPr>
        <w:t>，投资者将自行承担由此而导致的理财收益减少乃至本金损失的风险。</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估值风险：</w:t>
      </w:r>
      <w:r>
        <w:rPr>
          <w:rFonts w:ascii="Arial" w:hAnsi="Arial" w:cs="Arial"/>
          <w:sz w:val="22"/>
          <w:szCs w:val="22"/>
        </w:rPr>
        <w:t>本理财产品按《产品说明书》的估值方法进行估值，</w:t>
      </w:r>
      <w:r>
        <w:rPr>
          <w:rFonts w:hint="eastAsia" w:ascii="Arial" w:hAnsi="Arial" w:cs="Arial"/>
          <w:sz w:val="22"/>
          <w:szCs w:val="22"/>
        </w:rPr>
        <w:t>但本</w:t>
      </w:r>
      <w:r>
        <w:rPr>
          <w:rFonts w:ascii="Arial" w:hAnsi="Arial" w:cs="Arial"/>
          <w:sz w:val="22"/>
          <w:szCs w:val="22"/>
        </w:rPr>
        <w:t>理财产品估值与实际变现价值可能发生偏离，投资者应知晓该风险。</w:t>
      </w:r>
      <w:r>
        <w:rPr>
          <w:rFonts w:hint="eastAsia" w:ascii="Arial" w:hAnsi="Arial" w:cs="Arial"/>
          <w:sz w:val="22"/>
          <w:szCs w:val="22"/>
        </w:rPr>
        <w:t>本理财产品管理人估值仅作为参考，本理财产品管理人不承担第三方再次使用该估值引发的其他风险。本理财产品所投资的资产管理产品以其估值日截止时点能够取得的最新份额净值进行估值。因此，在前述情况下可能会出现本理财产品净值不能完全反映所投资资产管理计划或基金等资产管理产品估值日当日净值的情形</w:t>
      </w:r>
      <w:r>
        <w:rPr>
          <w:rFonts w:ascii="Arial" w:hAnsi="Arial" w:cs="Arial"/>
          <w:sz w:val="22"/>
          <w:szCs w:val="22"/>
        </w:rPr>
        <w:t>。</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关联交易风险</w:t>
      </w:r>
      <w:r>
        <w:rPr>
          <w:rFonts w:ascii="Arial" w:hAnsi="Arial" w:cs="Arial"/>
          <w:sz w:val="22"/>
          <w:szCs w:val="22"/>
        </w:rPr>
        <w:t>：</w:t>
      </w:r>
      <w:r>
        <w:rPr>
          <w:rFonts w:hint="eastAsia" w:ascii="Arial" w:hAnsi="Arial" w:cs="Arial"/>
          <w:sz w:val="22"/>
          <w:szCs w:val="22"/>
        </w:rPr>
        <w:t>本理财产品管理人和销售服务机构、托管人存在关联关系，在投资运作中也可能出现其他关联交易行为。在本理财产品运作过程中，若关联交易认定标准有偏差、关联交易定价方法不准确，或关联交易受监管政策影响等，可能导致本理财产品发行终止、无法成立、提前终止或本金收益损失等风险。</w:t>
      </w:r>
    </w:p>
    <w:p>
      <w:pPr>
        <w:pStyle w:val="10"/>
        <w:numPr>
          <w:ilvl w:val="0"/>
          <w:numId w:val="1"/>
        </w:numPr>
        <w:spacing w:line="360" w:lineRule="auto"/>
        <w:ind w:firstLineChars="0"/>
        <w:rPr>
          <w:rFonts w:ascii="Arial" w:hAnsi="Arial" w:cs="Arial"/>
          <w:b/>
          <w:sz w:val="22"/>
          <w:szCs w:val="22"/>
        </w:rPr>
      </w:pPr>
      <w:r>
        <w:rPr>
          <w:rFonts w:hint="eastAsia" w:ascii="Arial" w:hAnsi="Arial" w:cs="Arial"/>
          <w:b/>
          <w:sz w:val="22"/>
          <w:szCs w:val="22"/>
        </w:rPr>
        <w:t>托管及清算风险：</w:t>
      </w:r>
      <w:r>
        <w:rPr>
          <w:rFonts w:hint="eastAsia" w:ascii="Arial" w:hAnsi="Arial" w:cs="Arial"/>
          <w:sz w:val="22"/>
          <w:szCs w:val="22"/>
        </w:rPr>
        <w:t>本理财产品存在托管人，若因托管人操作失误或因任何原因未能按约履行托管人职责，或丧失进行托管的能力或法定资格，均可能给本理财产品带来风险。</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特定投资标的风险</w:t>
      </w:r>
    </w:p>
    <w:p>
      <w:pPr>
        <w:pStyle w:val="10"/>
        <w:spacing w:line="360" w:lineRule="auto"/>
        <w:ind w:left="420" w:firstLine="0" w:firstLineChars="0"/>
        <w:rPr>
          <w:rFonts w:ascii="Arial" w:hAnsi="Arial" w:cs="Arial"/>
          <w:b/>
          <w:sz w:val="22"/>
          <w:szCs w:val="22"/>
        </w:rPr>
      </w:pPr>
      <w:r>
        <w:rPr>
          <w:rFonts w:ascii="Arial" w:hAnsi="Arial" w:cs="Arial"/>
          <w:b/>
          <w:sz w:val="22"/>
          <w:szCs w:val="22"/>
        </w:rPr>
        <w:t>（1）投资于债券的特殊风险</w:t>
      </w:r>
    </w:p>
    <w:p>
      <w:pPr>
        <w:pStyle w:val="10"/>
        <w:spacing w:line="360" w:lineRule="auto"/>
        <w:ind w:left="420" w:firstLine="0" w:firstLineChars="0"/>
        <w:rPr>
          <w:rFonts w:ascii="Arial" w:hAnsi="Arial" w:cs="Arial"/>
          <w:sz w:val="22"/>
          <w:szCs w:val="22"/>
        </w:rPr>
      </w:pPr>
      <w:r>
        <w:rPr>
          <w:rFonts w:ascii="Arial" w:hAnsi="Arial" w:cs="Arial"/>
          <w:sz w:val="22"/>
          <w:szCs w:val="22"/>
        </w:rPr>
        <w:t>A市场平均利率水平变化导致债券价格变化的风险。</w:t>
      </w:r>
    </w:p>
    <w:p>
      <w:pPr>
        <w:pStyle w:val="10"/>
        <w:spacing w:line="360" w:lineRule="auto"/>
        <w:ind w:left="420" w:firstLine="0" w:firstLineChars="0"/>
        <w:rPr>
          <w:rFonts w:ascii="Arial" w:hAnsi="Arial" w:cs="Arial"/>
          <w:sz w:val="22"/>
          <w:szCs w:val="22"/>
        </w:rPr>
      </w:pPr>
      <w:r>
        <w:rPr>
          <w:rFonts w:ascii="Arial" w:hAnsi="Arial" w:cs="Arial"/>
          <w:sz w:val="22"/>
          <w:szCs w:val="22"/>
        </w:rPr>
        <w:t>B债券市场不同期限、不同类属债券之间的利差变动导致相应期限和类属债券价格变化的风险。</w:t>
      </w:r>
    </w:p>
    <w:p>
      <w:pPr>
        <w:pStyle w:val="10"/>
        <w:spacing w:line="360" w:lineRule="auto"/>
        <w:ind w:left="420" w:firstLine="0" w:firstLineChars="0"/>
        <w:rPr>
          <w:rFonts w:ascii="Arial" w:hAnsi="Arial" w:cs="Arial"/>
          <w:sz w:val="22"/>
          <w:szCs w:val="22"/>
        </w:rPr>
      </w:pPr>
      <w:r>
        <w:rPr>
          <w:rFonts w:ascii="Arial" w:hAnsi="Arial" w:cs="Arial"/>
          <w:sz w:val="22"/>
          <w:szCs w:val="22"/>
        </w:rPr>
        <w:t>C债券的发行人的经营状况受到多种因素影响，如管理能力、财务状况、市场前景、行业竞争能力、技术更新、研究开发、人员素质等，都会导致发行人盈利发生变化，可能导致债券市场价格下跌或无法按时偿付本息，从而影响理财</w:t>
      </w:r>
      <w:r>
        <w:rPr>
          <w:rFonts w:hint="eastAsia" w:ascii="Arial" w:hAnsi="Arial" w:cs="Arial"/>
          <w:sz w:val="22"/>
          <w:szCs w:val="22"/>
        </w:rPr>
        <w:t>产品</w:t>
      </w:r>
      <w:r>
        <w:rPr>
          <w:rFonts w:ascii="Arial" w:hAnsi="Arial" w:cs="Arial"/>
          <w:sz w:val="22"/>
          <w:szCs w:val="22"/>
        </w:rPr>
        <w:t>收益水平。</w:t>
      </w:r>
    </w:p>
    <w:p>
      <w:pPr>
        <w:pStyle w:val="10"/>
        <w:spacing w:line="360" w:lineRule="auto"/>
        <w:ind w:left="420" w:firstLine="0" w:firstLineChars="0"/>
        <w:rPr>
          <w:rFonts w:ascii="Arial" w:hAnsi="Arial" w:cs="Arial"/>
          <w:sz w:val="22"/>
          <w:szCs w:val="22"/>
        </w:rPr>
      </w:pPr>
      <w:r>
        <w:rPr>
          <w:rFonts w:ascii="Arial" w:hAnsi="Arial" w:cs="Arial"/>
          <w:sz w:val="22"/>
          <w:szCs w:val="22"/>
        </w:rPr>
        <w:t>D 债券发行人、担保人出现违约、拒绝支付到期本息，或由于债券发行人、担保人信用质量降低导致债券价格下降及无法收回投资收益的风险。</w:t>
      </w:r>
    </w:p>
    <w:p>
      <w:pPr>
        <w:pStyle w:val="10"/>
        <w:spacing w:line="360" w:lineRule="auto"/>
        <w:ind w:left="420" w:firstLine="0" w:firstLineChars="0"/>
        <w:rPr>
          <w:rFonts w:ascii="Arial" w:hAnsi="Arial" w:cs="Arial"/>
          <w:sz w:val="22"/>
          <w:szCs w:val="22"/>
        </w:rPr>
      </w:pPr>
      <w:r>
        <w:rPr>
          <w:rFonts w:ascii="Arial" w:hAnsi="Arial" w:cs="Arial"/>
          <w:sz w:val="22"/>
          <w:szCs w:val="22"/>
        </w:rPr>
        <w:t>E 与信用等级较高的债券相比，投资于信用等级较低的债券将因为发行主体的偿还债务能力略低、受不利经济环境的影响更大以及违约风险更高等原因而面临更大的投资风险。</w:t>
      </w:r>
    </w:p>
    <w:p>
      <w:pPr>
        <w:pStyle w:val="10"/>
        <w:spacing w:line="360" w:lineRule="auto"/>
        <w:ind w:left="420" w:firstLine="0" w:firstLineChars="0"/>
        <w:rPr>
          <w:rFonts w:ascii="Arial" w:hAnsi="Arial" w:cs="Arial"/>
          <w:sz w:val="22"/>
          <w:szCs w:val="22"/>
        </w:rPr>
      </w:pPr>
      <w:r>
        <w:rPr>
          <w:rFonts w:ascii="Arial" w:hAnsi="Arial" w:cs="Arial"/>
          <w:sz w:val="22"/>
          <w:szCs w:val="22"/>
        </w:rPr>
        <w:t>F 中小企业债券的发行主体为中小微企业，企业规模通常较小，且其成长和发展具有局限性，较难抵御宏观经济和产业经济波动所带来的风险冲击, 因此面临一定投资风险。</w:t>
      </w:r>
    </w:p>
    <w:p>
      <w:pPr>
        <w:pStyle w:val="10"/>
        <w:spacing w:line="360" w:lineRule="auto"/>
        <w:ind w:left="420" w:firstLine="0" w:firstLineChars="0"/>
        <w:rPr>
          <w:rFonts w:ascii="Arial" w:hAnsi="Arial" w:cs="Arial"/>
          <w:sz w:val="22"/>
          <w:szCs w:val="22"/>
        </w:rPr>
      </w:pPr>
      <w:r>
        <w:rPr>
          <w:rFonts w:ascii="Arial" w:hAnsi="Arial" w:cs="Arial"/>
          <w:sz w:val="22"/>
          <w:szCs w:val="22"/>
        </w:rPr>
        <w:t>G 相对于其他公开发行的债券，非公开定向债务融资工具、非公开发行公司债的流动性较差，其流通和转让均存在一定的限制，因此投资于非公开定向债务融资工具</w:t>
      </w:r>
      <w:r>
        <w:rPr>
          <w:rFonts w:hint="eastAsia" w:ascii="Arial" w:hAnsi="Arial" w:cs="Arial"/>
          <w:sz w:val="22"/>
          <w:szCs w:val="22"/>
        </w:rPr>
        <w:t>、非公开发行公司债</w:t>
      </w:r>
      <w:r>
        <w:rPr>
          <w:rFonts w:ascii="Arial" w:hAnsi="Arial" w:cs="Arial"/>
          <w:sz w:val="22"/>
          <w:szCs w:val="22"/>
        </w:rPr>
        <w:t>将面临较大的投资风险。</w:t>
      </w:r>
    </w:p>
    <w:p>
      <w:pPr>
        <w:pStyle w:val="10"/>
        <w:spacing w:line="360" w:lineRule="auto"/>
        <w:ind w:left="420" w:firstLine="0" w:firstLineChars="0"/>
        <w:rPr>
          <w:rFonts w:ascii="Arial" w:hAnsi="Arial" w:cs="Arial"/>
          <w:b/>
          <w:sz w:val="22"/>
          <w:szCs w:val="22"/>
        </w:rPr>
      </w:pPr>
      <w:r>
        <w:rPr>
          <w:rFonts w:ascii="Arial" w:hAnsi="Arial" w:cs="Arial"/>
          <w:b/>
          <w:sz w:val="22"/>
          <w:szCs w:val="22"/>
        </w:rPr>
        <w:t>（2）投资于资产支持证券的特殊风险</w:t>
      </w:r>
    </w:p>
    <w:p>
      <w:pPr>
        <w:pStyle w:val="10"/>
        <w:spacing w:line="360" w:lineRule="auto"/>
        <w:ind w:left="420" w:firstLine="0" w:firstLineChars="0"/>
        <w:rPr>
          <w:rFonts w:ascii="Arial" w:hAnsi="Arial" w:cs="Arial"/>
          <w:sz w:val="22"/>
          <w:szCs w:val="22"/>
        </w:rPr>
      </w:pPr>
      <w:r>
        <w:rPr>
          <w:rFonts w:ascii="Arial" w:hAnsi="Arial" w:cs="Arial"/>
          <w:sz w:val="22"/>
          <w:szCs w:val="22"/>
        </w:rPr>
        <w:t>资产支持证券的投资收益取决于资产支持证券项下的基础资产情况，如该基础资产发生项下现金流未能及时完整取得或相关主体出现违约等情况，资产支持证券的本金和（或）收益将受到影响，且资产支持证券的流动性较低，由此本理财产品财产可能遭受损失或投资者可能无法获得投资收益。</w:t>
      </w:r>
    </w:p>
    <w:p>
      <w:pPr>
        <w:spacing w:line="360" w:lineRule="auto"/>
        <w:ind w:left="420" w:leftChars="200"/>
        <w:rPr>
          <w:rFonts w:ascii="Arial" w:hAnsi="Arial" w:cs="Arial"/>
          <w:b/>
          <w:sz w:val="22"/>
        </w:rPr>
      </w:pPr>
      <w:r>
        <w:rPr>
          <w:rFonts w:ascii="Arial" w:hAnsi="Arial" w:cs="Arial"/>
          <w:b/>
          <w:sz w:val="22"/>
        </w:rPr>
        <w:t>（3）投资于</w:t>
      </w:r>
      <w:r>
        <w:rPr>
          <w:rFonts w:hint="eastAsia" w:ascii="Arial" w:hAnsi="Arial" w:cs="Arial"/>
          <w:b/>
          <w:sz w:val="22"/>
        </w:rPr>
        <w:t>公募基金、信托计划、资产管理计划等资产管理产品的份额</w:t>
      </w:r>
      <w:r>
        <w:rPr>
          <w:rFonts w:ascii="Arial" w:hAnsi="Arial" w:cs="Arial"/>
          <w:b/>
          <w:sz w:val="22"/>
        </w:rPr>
        <w:t>时，可能面临的受托人/资产管理人/投资顾问风险</w:t>
      </w:r>
    </w:p>
    <w:p>
      <w:pPr>
        <w:spacing w:line="360" w:lineRule="auto"/>
        <w:ind w:left="420" w:leftChars="200"/>
        <w:rPr>
          <w:rFonts w:ascii="Arial" w:hAnsi="Arial" w:cs="Arial"/>
          <w:sz w:val="22"/>
        </w:rPr>
      </w:pPr>
      <w:r>
        <w:rPr>
          <w:rFonts w:ascii="Arial" w:hAnsi="Arial" w:cs="Arial"/>
          <w:sz w:val="22"/>
        </w:rPr>
        <w:t>由于管理人(包括本理财产品的投资管理人、所投资的</w:t>
      </w:r>
      <w:r>
        <w:rPr>
          <w:rFonts w:hint="eastAsia" w:ascii="Arial" w:hAnsi="Arial" w:cs="Arial"/>
          <w:sz w:val="22"/>
        </w:rPr>
        <w:t>公募基金/信托计划/资产管理计划等资产管理产品</w:t>
      </w:r>
      <w:r>
        <w:rPr>
          <w:rFonts w:ascii="Arial" w:hAnsi="Arial" w:cs="Arial"/>
          <w:sz w:val="22"/>
        </w:rPr>
        <w:t>的</w:t>
      </w:r>
      <w:r>
        <w:rPr>
          <w:rFonts w:hint="eastAsia" w:ascii="Arial" w:hAnsi="Arial" w:cs="Arial"/>
          <w:sz w:val="22"/>
        </w:rPr>
        <w:t>管理人/</w:t>
      </w:r>
      <w:r>
        <w:rPr>
          <w:rFonts w:ascii="Arial" w:hAnsi="Arial" w:cs="Arial"/>
          <w:sz w:val="22"/>
        </w:rPr>
        <w:t>受托人(如有)、相关投资顾问(如有))受经验、技能等因素的限制，会影响其对信息的获取和对经济形势、金融市场价格走势的判断，如管理人判断有误、获取信息不全、或对投资工具使用不当等，可能导致本理财产品项下的理财资金遭受损失。如</w:t>
      </w:r>
      <w:r>
        <w:rPr>
          <w:rFonts w:hint="eastAsia" w:ascii="Arial" w:hAnsi="Arial" w:cs="Arial"/>
          <w:sz w:val="22"/>
        </w:rPr>
        <w:t>公募基金/信托计划/资产管理计划等资产管理产品</w:t>
      </w:r>
      <w:r>
        <w:rPr>
          <w:rFonts w:ascii="Arial" w:hAnsi="Arial" w:cs="Arial"/>
          <w:sz w:val="22"/>
        </w:rPr>
        <w:t>的受托人</w:t>
      </w:r>
      <w:r>
        <w:rPr>
          <w:rFonts w:hint="eastAsia" w:ascii="Arial" w:hAnsi="Arial" w:cs="Arial"/>
          <w:sz w:val="22"/>
        </w:rPr>
        <w:t>/资产管理人</w:t>
      </w:r>
      <w:r>
        <w:rPr>
          <w:rFonts w:ascii="Arial" w:hAnsi="Arial" w:cs="Arial"/>
          <w:sz w:val="22"/>
        </w:rPr>
        <w:t>(如有)、相关投资顾问(如有)等及其内部作业、人员管理及系统操作不当或失误，或违背相关合同约定、未严格执行风险控制措施、处理事务不当等，可能导致本理财产品项下的理财资金遭受损失。</w:t>
      </w:r>
    </w:p>
    <w:p>
      <w:pPr>
        <w:spacing w:line="360" w:lineRule="auto"/>
        <w:ind w:left="420" w:leftChars="200"/>
        <w:rPr>
          <w:rFonts w:ascii="Arial" w:hAnsi="Arial" w:cs="Arial"/>
          <w:b/>
          <w:sz w:val="22"/>
        </w:rPr>
      </w:pPr>
      <w:r>
        <w:rPr>
          <w:rFonts w:ascii="Arial" w:hAnsi="Arial" w:cs="Arial"/>
          <w:b/>
          <w:sz w:val="22"/>
        </w:rPr>
        <w:t>（4）投资于</w:t>
      </w:r>
      <w:r>
        <w:rPr>
          <w:rFonts w:hint="eastAsia" w:ascii="Arial" w:hAnsi="Arial" w:cs="Arial"/>
          <w:b/>
          <w:sz w:val="22"/>
        </w:rPr>
        <w:t>商品及</w:t>
      </w:r>
      <w:r>
        <w:rPr>
          <w:rFonts w:ascii="Arial" w:hAnsi="Arial" w:cs="Arial"/>
          <w:b/>
          <w:sz w:val="22"/>
        </w:rPr>
        <w:t>金融衍生品的特殊风险</w:t>
      </w:r>
    </w:p>
    <w:p>
      <w:pPr>
        <w:spacing w:line="360" w:lineRule="auto"/>
        <w:ind w:left="420" w:leftChars="200"/>
        <w:rPr>
          <w:rFonts w:ascii="Arial" w:hAnsi="Arial" w:cs="Arial"/>
          <w:sz w:val="22"/>
        </w:rPr>
      </w:pPr>
      <w:r>
        <w:rPr>
          <w:rFonts w:ascii="Arial" w:hAnsi="Arial" w:cs="Arial"/>
          <w:sz w:val="22"/>
        </w:rPr>
        <w:t>本理财产品的投资范围包括但不限于利率互换</w:t>
      </w:r>
      <w:r>
        <w:rPr>
          <w:rFonts w:hint="eastAsia" w:ascii="Arial" w:hAnsi="Arial" w:cs="Arial"/>
          <w:sz w:val="22"/>
        </w:rPr>
        <w:t>、国债期货、收益互换、债券借贷</w:t>
      </w:r>
      <w:r>
        <w:rPr>
          <w:rFonts w:ascii="Arial" w:hAnsi="Arial" w:cs="Arial"/>
          <w:sz w:val="22"/>
        </w:rPr>
        <w:t>等</w:t>
      </w:r>
      <w:r>
        <w:rPr>
          <w:rFonts w:hint="eastAsia" w:ascii="Arial" w:hAnsi="Arial" w:cs="Arial"/>
          <w:sz w:val="22"/>
        </w:rPr>
        <w:t>商品及金融衍生品类资产及包含前述投资品种的资产管理产品</w:t>
      </w:r>
      <w:r>
        <w:rPr>
          <w:rFonts w:ascii="Arial" w:hAnsi="Arial" w:cs="Arial"/>
          <w:sz w:val="22"/>
        </w:rPr>
        <w:t>，本理财产品管理人获得相应的衍生产品交易资格后将可能直接投资金融衍生品类资产。本理财产品投资于</w:t>
      </w:r>
      <w:r>
        <w:rPr>
          <w:rFonts w:hint="eastAsia" w:ascii="Arial" w:hAnsi="Arial" w:cs="Arial"/>
          <w:sz w:val="22"/>
        </w:rPr>
        <w:t>商品及</w:t>
      </w:r>
      <w:r>
        <w:rPr>
          <w:rFonts w:ascii="Arial" w:hAnsi="Arial" w:cs="Arial"/>
          <w:sz w:val="22"/>
        </w:rPr>
        <w:t>金融衍生品</w:t>
      </w:r>
      <w:r>
        <w:rPr>
          <w:rFonts w:hint="eastAsia" w:ascii="Arial" w:hAnsi="Arial" w:cs="Arial"/>
          <w:sz w:val="22"/>
        </w:rPr>
        <w:t>类资产</w:t>
      </w:r>
      <w:r>
        <w:rPr>
          <w:rFonts w:ascii="Arial" w:hAnsi="Arial" w:cs="Arial"/>
          <w:sz w:val="22"/>
        </w:rPr>
        <w:t>可能面临</w:t>
      </w:r>
      <w:r>
        <w:rPr>
          <w:rFonts w:hint="eastAsia" w:ascii="Arial" w:hAnsi="Arial" w:cs="Arial"/>
          <w:sz w:val="22"/>
        </w:rPr>
        <w:t>政策风险、</w:t>
      </w:r>
      <w:r>
        <w:rPr>
          <w:rFonts w:ascii="Arial" w:hAnsi="Arial" w:cs="Arial"/>
          <w:sz w:val="22"/>
        </w:rPr>
        <w:t>市场风险、基差风险、流动性风险</w:t>
      </w:r>
      <w:r>
        <w:rPr>
          <w:rFonts w:hint="eastAsia" w:ascii="Arial" w:hAnsi="Arial" w:cs="Arial"/>
          <w:sz w:val="22"/>
        </w:rPr>
        <w:t>、交易对手不能履约的风险</w:t>
      </w:r>
      <w:r>
        <w:rPr>
          <w:rFonts w:ascii="Arial" w:hAnsi="Arial" w:cs="Arial"/>
          <w:sz w:val="22"/>
        </w:rPr>
        <w:t>。</w:t>
      </w:r>
      <w:r>
        <w:rPr>
          <w:rFonts w:hint="eastAsia" w:ascii="Arial" w:hAnsi="Arial" w:cs="Arial"/>
          <w:sz w:val="22"/>
        </w:rPr>
        <w:t>政策风险是监管部门可视业务的开展情况对相关政策和规定进行调整，引起商品及金融衍生品业务相关规定、运作方式变化或者证券市场波动，从而给投资者带来损失的风险。</w:t>
      </w:r>
      <w:r>
        <w:rPr>
          <w:rFonts w:ascii="Arial" w:hAnsi="Arial" w:cs="Arial"/>
          <w:sz w:val="22"/>
        </w:rPr>
        <w:t>市场风险是因</w:t>
      </w:r>
      <w:r>
        <w:rPr>
          <w:rFonts w:hint="eastAsia" w:ascii="Arial" w:hAnsi="Arial" w:cs="Arial"/>
          <w:sz w:val="22"/>
        </w:rPr>
        <w:t>商品及</w:t>
      </w:r>
      <w:r>
        <w:rPr>
          <w:rFonts w:ascii="Arial" w:hAnsi="Arial" w:cs="Arial"/>
          <w:sz w:val="22"/>
        </w:rPr>
        <w:t>金融衍生品的市场价格波动使所持有的衍生品合约价值发生变化的风险。基差风险是指由于期货与现货间的价差的波动，影响套期保值或套利效果，使之发生意外损益的风险。流动性风险可分为两类，一类是流通量风险，是指衍生品合约无法及时以所希望的价格建立或了结头寸的风险，此类风险往往是由市场缺乏广度或深度所导致；另一类是资金量风险，是指资金量无法满足保证金要求，使得所持有的头寸面临被强制平仓的风险。</w:t>
      </w:r>
      <w:r>
        <w:rPr>
          <w:rFonts w:hint="eastAsia" w:ascii="Arial" w:hAnsi="Arial" w:cs="Arial"/>
          <w:sz w:val="22"/>
        </w:rPr>
        <w:t>交易对手不能履约的风险是交易对手因停业、解散、撤销、破产，或者被有权机构撤销相关业务许可、责令停业整顿等原因不能履行商品及金融衍生品中的约定义务，可能给投资者带来损失的风险。</w:t>
      </w:r>
    </w:p>
    <w:p>
      <w:pPr>
        <w:spacing w:line="360" w:lineRule="auto"/>
        <w:ind w:left="420" w:leftChars="200"/>
        <w:rPr>
          <w:rFonts w:ascii="Arial" w:hAnsi="Arial" w:cs="Arial"/>
          <w:b/>
          <w:sz w:val="22"/>
        </w:rPr>
      </w:pPr>
      <w:r>
        <w:rPr>
          <w:rFonts w:ascii="Arial" w:hAnsi="Arial" w:cs="Arial"/>
          <w:b/>
          <w:sz w:val="22"/>
        </w:rPr>
        <w:t>（5）</w:t>
      </w:r>
      <w:r>
        <w:rPr>
          <w:rFonts w:hint="eastAsia" w:ascii="Arial" w:hAnsi="Arial" w:cs="Arial"/>
          <w:b/>
          <w:sz w:val="22"/>
        </w:rPr>
        <w:t>投资于结构性存款等结构性投资产品的风险</w:t>
      </w:r>
    </w:p>
    <w:p>
      <w:pPr>
        <w:spacing w:line="360" w:lineRule="auto"/>
        <w:ind w:left="420"/>
        <w:rPr>
          <w:rFonts w:ascii="Arial" w:hAnsi="Arial" w:cs="Arial"/>
          <w:sz w:val="22"/>
        </w:rPr>
      </w:pPr>
      <w:r>
        <w:rPr>
          <w:rFonts w:hint="eastAsia" w:ascii="Arial" w:hAnsi="Arial" w:cs="Arial"/>
          <w:b/>
          <w:sz w:val="22"/>
        </w:rPr>
        <w:t>本理财产品可投资于结构性存款</w:t>
      </w:r>
      <w:r>
        <w:rPr>
          <w:rFonts w:hint="eastAsia" w:ascii="Arial" w:hAnsi="Arial" w:cs="Arial"/>
          <w:b/>
          <w:sz w:val="22"/>
          <w:szCs w:val="24"/>
        </w:rPr>
        <w:t>等结构性投资产品</w:t>
      </w:r>
      <w:r>
        <w:rPr>
          <w:rFonts w:hint="eastAsia" w:ascii="Arial" w:hAnsi="Arial" w:cs="Arial"/>
          <w:b/>
          <w:sz w:val="22"/>
        </w:rPr>
        <w:t>。</w:t>
      </w:r>
      <w:r>
        <w:rPr>
          <w:rFonts w:hint="eastAsia" w:ascii="Arial" w:hAnsi="Arial" w:cs="Arial"/>
          <w:sz w:val="22"/>
        </w:rPr>
        <w:t>本理财产品将谨慎进行结构性存款</w:t>
      </w:r>
      <w:r>
        <w:rPr>
          <w:rFonts w:hint="eastAsia" w:ascii="Arial" w:hAnsi="Arial" w:cs="Arial"/>
          <w:b/>
          <w:sz w:val="22"/>
          <w:szCs w:val="24"/>
        </w:rPr>
        <w:t>等结构性投资产品</w:t>
      </w:r>
      <w:r>
        <w:rPr>
          <w:rFonts w:hint="eastAsia" w:ascii="Arial" w:hAnsi="Arial" w:cs="Arial"/>
          <w:sz w:val="22"/>
        </w:rPr>
        <w:t>的投资，但仍可能面临的风险包括但不限于：</w:t>
      </w:r>
    </w:p>
    <w:p>
      <w:pPr>
        <w:spacing w:line="360" w:lineRule="auto"/>
        <w:ind w:left="420"/>
        <w:rPr>
          <w:rFonts w:ascii="Arial" w:hAnsi="Arial" w:cs="Arial"/>
          <w:sz w:val="22"/>
        </w:rPr>
      </w:pPr>
      <w:r>
        <w:rPr>
          <w:rFonts w:ascii="Arial" w:hAnsi="Arial" w:cs="Arial"/>
          <w:sz w:val="22"/>
        </w:rPr>
        <w:t xml:space="preserve">A </w:t>
      </w:r>
      <w:r>
        <w:rPr>
          <w:rFonts w:hint="eastAsia" w:ascii="Arial" w:hAnsi="Arial" w:cs="Arial"/>
          <w:sz w:val="22"/>
        </w:rPr>
        <w:t>市场风险。结构性存款</w:t>
      </w:r>
      <w:r>
        <w:rPr>
          <w:rFonts w:hint="eastAsia" w:ascii="Arial" w:hAnsi="Arial" w:cs="Arial"/>
          <w:sz w:val="22"/>
          <w:szCs w:val="24"/>
        </w:rPr>
        <w:t>等结构性投资产品</w:t>
      </w:r>
      <w:r>
        <w:rPr>
          <w:rFonts w:hint="eastAsia" w:ascii="Arial" w:hAnsi="Arial" w:cs="Arial"/>
          <w:sz w:val="22"/>
        </w:rPr>
        <w:t>挂钩的境内外债券、股票、利率、汇率、指数等标的受相关国家或地区的金融市场和经济趋势的影响，其波动存在不确定性。本理财产品投资结构性存款等结构性投资产品的实际收益取决于挂钩标的的价格变化，收益存在不确定性。</w:t>
      </w:r>
    </w:p>
    <w:p>
      <w:pPr>
        <w:spacing w:line="360" w:lineRule="auto"/>
        <w:ind w:left="420"/>
        <w:rPr>
          <w:rFonts w:ascii="Arial" w:hAnsi="Arial" w:cs="Arial"/>
          <w:sz w:val="22"/>
        </w:rPr>
      </w:pPr>
      <w:r>
        <w:rPr>
          <w:rFonts w:ascii="Arial" w:hAnsi="Arial" w:cs="Arial"/>
          <w:sz w:val="22"/>
        </w:rPr>
        <w:t xml:space="preserve">B </w:t>
      </w:r>
      <w:r>
        <w:rPr>
          <w:rFonts w:hint="eastAsia" w:ascii="Arial" w:hAnsi="Arial" w:cs="Arial"/>
          <w:sz w:val="22"/>
        </w:rPr>
        <w:t>信用风险。本理财产品投资的结构性存款</w:t>
      </w:r>
      <w:r>
        <w:rPr>
          <w:rFonts w:hint="eastAsia" w:ascii="Arial" w:hAnsi="Arial" w:cs="Arial"/>
          <w:sz w:val="22"/>
          <w:szCs w:val="24"/>
        </w:rPr>
        <w:t>等结构性投资产品</w:t>
      </w:r>
      <w:r>
        <w:rPr>
          <w:rFonts w:hint="eastAsia" w:ascii="Arial" w:hAnsi="Arial" w:cs="Arial"/>
          <w:sz w:val="22"/>
        </w:rPr>
        <w:t>面临交易对手银行及其关联方的信用风险，包括无力偿付或未履行该结构性存款</w:t>
      </w:r>
      <w:r>
        <w:rPr>
          <w:rFonts w:hint="eastAsia" w:ascii="Arial" w:hAnsi="Arial" w:cs="Arial"/>
          <w:sz w:val="22"/>
          <w:szCs w:val="24"/>
        </w:rPr>
        <w:t>等结构性投资产品</w:t>
      </w:r>
      <w:r>
        <w:rPr>
          <w:rFonts w:hint="eastAsia" w:ascii="Arial" w:hAnsi="Arial" w:cs="Arial"/>
          <w:sz w:val="22"/>
        </w:rPr>
        <w:t>相关义务（含支付义务）的风险。在发生极端信用风险事件情况下，如被宣告破产等，本理财产品的本金与收益将受到影响，在最不利的情况下可能无任何收益并损失全部本金，同时结构性存款</w:t>
      </w:r>
      <w:r>
        <w:rPr>
          <w:rFonts w:hint="eastAsia" w:ascii="Arial" w:hAnsi="Arial" w:cs="Arial"/>
          <w:sz w:val="22"/>
          <w:szCs w:val="24"/>
        </w:rPr>
        <w:t>等结构性投资产品</w:t>
      </w:r>
      <w:r>
        <w:rPr>
          <w:rFonts w:hint="eastAsia" w:ascii="Arial" w:hAnsi="Arial" w:cs="Arial"/>
          <w:sz w:val="22"/>
        </w:rPr>
        <w:t>挂钩的标的如果出现信用违约，结构性存款</w:t>
      </w:r>
      <w:r>
        <w:rPr>
          <w:rFonts w:hint="eastAsia" w:ascii="Arial" w:hAnsi="Arial" w:cs="Arial"/>
          <w:sz w:val="22"/>
          <w:szCs w:val="24"/>
        </w:rPr>
        <w:t>等结构性投资产品</w:t>
      </w:r>
      <w:r>
        <w:rPr>
          <w:rFonts w:hint="eastAsia" w:ascii="Arial" w:hAnsi="Arial" w:cs="Arial"/>
          <w:sz w:val="22"/>
        </w:rPr>
        <w:t>的本金与收益也会受到影响，在最不利的情况下可能损失全部本金。</w:t>
      </w:r>
    </w:p>
    <w:p>
      <w:pPr>
        <w:spacing w:line="360" w:lineRule="auto"/>
        <w:ind w:left="420"/>
        <w:rPr>
          <w:rFonts w:ascii="Arial" w:hAnsi="Arial" w:cs="Arial"/>
          <w:sz w:val="22"/>
        </w:rPr>
      </w:pPr>
      <w:r>
        <w:rPr>
          <w:rFonts w:ascii="Arial" w:hAnsi="Arial" w:cs="Arial"/>
          <w:sz w:val="22"/>
        </w:rPr>
        <w:t xml:space="preserve">C </w:t>
      </w:r>
      <w:r>
        <w:rPr>
          <w:rFonts w:hint="eastAsia" w:ascii="Arial" w:hAnsi="Arial" w:cs="Arial"/>
          <w:sz w:val="22"/>
        </w:rPr>
        <w:t>利率风险。本理财产品投资的结构性存款</w:t>
      </w:r>
      <w:r>
        <w:rPr>
          <w:rFonts w:hint="eastAsia" w:ascii="Arial" w:hAnsi="Arial" w:cs="Arial"/>
          <w:sz w:val="22"/>
          <w:szCs w:val="24"/>
        </w:rPr>
        <w:t>等结构性投资产品</w:t>
      </w:r>
      <w:r>
        <w:rPr>
          <w:rFonts w:hint="eastAsia" w:ascii="Arial" w:hAnsi="Arial" w:cs="Arial"/>
          <w:sz w:val="22"/>
        </w:rPr>
        <w:t>如挂钩特定债券或债券指数，可能因相关利率变动而导致本理财产品收益发生变化，因而面临利率波动的风险。</w:t>
      </w:r>
    </w:p>
    <w:p>
      <w:pPr>
        <w:spacing w:line="360" w:lineRule="auto"/>
        <w:ind w:left="420"/>
        <w:rPr>
          <w:rFonts w:ascii="Arial" w:hAnsi="Arial" w:cs="Arial"/>
          <w:sz w:val="22"/>
        </w:rPr>
      </w:pPr>
      <w:r>
        <w:rPr>
          <w:rFonts w:ascii="Arial" w:hAnsi="Arial" w:cs="Arial"/>
          <w:sz w:val="22"/>
        </w:rPr>
        <w:t xml:space="preserve">D </w:t>
      </w:r>
      <w:r>
        <w:rPr>
          <w:rFonts w:hint="eastAsia" w:ascii="Arial" w:hAnsi="Arial" w:cs="Arial"/>
          <w:sz w:val="22"/>
        </w:rPr>
        <w:t>汇率风险。本理财产品投资的结构性存款</w:t>
      </w:r>
      <w:r>
        <w:rPr>
          <w:rFonts w:hint="eastAsia" w:ascii="Arial" w:hAnsi="Arial" w:cs="Arial"/>
          <w:sz w:val="22"/>
          <w:szCs w:val="24"/>
        </w:rPr>
        <w:t>等结构性投资产品</w:t>
      </w:r>
      <w:r>
        <w:rPr>
          <w:rFonts w:hint="eastAsia" w:ascii="Arial" w:hAnsi="Arial" w:cs="Arial"/>
          <w:sz w:val="22"/>
        </w:rPr>
        <w:t>如挂钩境外证券资产，可能面临以非人民币计价的各类资产受汇率波动影响而引起人民币估值下的本理财产品资产净值波动的风险。</w:t>
      </w:r>
    </w:p>
    <w:p>
      <w:pPr>
        <w:spacing w:line="360" w:lineRule="auto"/>
        <w:ind w:left="420"/>
        <w:rPr>
          <w:rFonts w:ascii="Arial" w:hAnsi="Arial" w:cs="Arial"/>
          <w:sz w:val="22"/>
        </w:rPr>
      </w:pPr>
      <w:r>
        <w:rPr>
          <w:rFonts w:ascii="Arial" w:hAnsi="Arial" w:cs="Arial"/>
          <w:sz w:val="22"/>
        </w:rPr>
        <w:t xml:space="preserve">E </w:t>
      </w:r>
      <w:r>
        <w:rPr>
          <w:rFonts w:hint="eastAsia" w:ascii="Arial" w:hAnsi="Arial" w:cs="Arial"/>
          <w:sz w:val="22"/>
        </w:rPr>
        <w:t>衍生品投资风险。结构性存款</w:t>
      </w:r>
      <w:r>
        <w:rPr>
          <w:rFonts w:hint="eastAsia" w:ascii="Arial" w:hAnsi="Arial" w:cs="Arial"/>
          <w:sz w:val="22"/>
          <w:szCs w:val="24"/>
        </w:rPr>
        <w:t>等结构性投资产品</w:t>
      </w:r>
      <w:r>
        <w:rPr>
          <w:rFonts w:hint="eastAsia" w:ascii="Arial" w:hAnsi="Arial" w:cs="Arial"/>
          <w:sz w:val="22"/>
        </w:rPr>
        <w:t>所嵌入的金融衍生工具，可能存在杠杆风险、操作风险、交易对手的信用风险、衍生品价格与其基础品种的相关度变化带来的风险等。</w:t>
      </w:r>
    </w:p>
    <w:p>
      <w:pPr>
        <w:spacing w:line="360" w:lineRule="auto"/>
        <w:ind w:left="420"/>
        <w:rPr>
          <w:rFonts w:ascii="Arial" w:hAnsi="Arial" w:cs="Arial"/>
          <w:sz w:val="22"/>
        </w:rPr>
      </w:pPr>
      <w:r>
        <w:rPr>
          <w:rFonts w:hint="eastAsia" w:ascii="Arial" w:hAnsi="Arial" w:cs="Arial"/>
          <w:b/>
          <w:sz w:val="22"/>
        </w:rPr>
        <w:t>特别提示：结构性存款不同于普通存款，不保本保收益。结构性存款通常在普通存款的基础上嵌入金融衍生工具，通过与境内外债券、股票、商品、利率、汇率、指数等的波动与表现挂钩，在承担挂钩标的资产风险的基础上获取投资收益。</w:t>
      </w:r>
    </w:p>
    <w:p>
      <w:pPr>
        <w:spacing w:line="360" w:lineRule="auto"/>
        <w:ind w:left="420" w:leftChars="200"/>
        <w:rPr>
          <w:rFonts w:ascii="Arial" w:hAnsi="Arial" w:cs="Arial"/>
          <w:b/>
          <w:sz w:val="22"/>
        </w:rPr>
      </w:pPr>
      <w:r>
        <w:rPr>
          <w:rFonts w:ascii="Arial" w:hAnsi="Arial" w:cs="Arial"/>
          <w:b/>
          <w:sz w:val="22"/>
        </w:rPr>
        <w:t>（6）投资于</w:t>
      </w:r>
      <w:r>
        <w:rPr>
          <w:rFonts w:hint="eastAsia" w:ascii="Arial" w:hAnsi="Arial" w:cs="Arial"/>
          <w:b/>
          <w:sz w:val="22"/>
        </w:rPr>
        <w:t>优先股</w:t>
      </w:r>
      <w:r>
        <w:rPr>
          <w:rFonts w:ascii="Arial" w:hAnsi="Arial" w:cs="Arial"/>
          <w:b/>
          <w:sz w:val="22"/>
        </w:rPr>
        <w:t>的特殊风险</w:t>
      </w:r>
    </w:p>
    <w:p>
      <w:pPr>
        <w:spacing w:line="360" w:lineRule="auto"/>
        <w:ind w:left="420"/>
        <w:rPr>
          <w:rFonts w:ascii="Arial" w:hAnsi="Arial" w:cs="Arial"/>
          <w:sz w:val="22"/>
        </w:rPr>
      </w:pPr>
      <w:r>
        <w:rPr>
          <w:rFonts w:hint="eastAsia" w:ascii="Arial" w:hAnsi="Arial" w:cs="Arial"/>
          <w:sz w:val="22"/>
        </w:rPr>
        <w:t>本理财产品可投资于优先股。本理财产品如投资于优先股，可能面临的相关风险包括但不限于：</w:t>
      </w:r>
    </w:p>
    <w:p>
      <w:pPr>
        <w:spacing w:line="360" w:lineRule="auto"/>
        <w:ind w:left="420"/>
        <w:rPr>
          <w:rFonts w:ascii="Arial" w:hAnsi="Arial" w:cs="Arial"/>
          <w:sz w:val="22"/>
        </w:rPr>
      </w:pPr>
      <w:r>
        <w:rPr>
          <w:rFonts w:hint="eastAsia" w:ascii="Arial" w:hAnsi="Arial" w:cs="Arial"/>
          <w:sz w:val="22"/>
        </w:rPr>
        <w:t>A</w:t>
      </w:r>
      <w:r>
        <w:rPr>
          <w:rFonts w:ascii="Arial" w:hAnsi="Arial" w:cs="Arial"/>
          <w:sz w:val="22"/>
        </w:rPr>
        <w:t xml:space="preserve"> </w:t>
      </w:r>
      <w:r>
        <w:rPr>
          <w:rFonts w:hint="eastAsia" w:ascii="Arial" w:hAnsi="Arial" w:cs="Arial"/>
          <w:sz w:val="22"/>
        </w:rPr>
        <w:t>国家</w:t>
      </w:r>
      <w:r>
        <w:rPr>
          <w:rFonts w:ascii="Arial" w:hAnsi="Arial" w:cs="Arial"/>
          <w:sz w:val="22"/>
        </w:rPr>
        <w:t>货币政策、财政政策、产业政策等的变化对证券市场产生一定的影响，导致市场价格水平波动的风险。</w:t>
      </w:r>
    </w:p>
    <w:p>
      <w:pPr>
        <w:spacing w:line="360" w:lineRule="auto"/>
        <w:ind w:left="420"/>
        <w:rPr>
          <w:rFonts w:ascii="Arial" w:hAnsi="Arial" w:cs="Arial"/>
          <w:sz w:val="22"/>
        </w:rPr>
      </w:pPr>
      <w:r>
        <w:rPr>
          <w:rFonts w:hint="eastAsia" w:ascii="Arial" w:hAnsi="Arial" w:cs="Arial"/>
          <w:sz w:val="22"/>
        </w:rPr>
        <w:t>B</w:t>
      </w:r>
      <w:r>
        <w:rPr>
          <w:rFonts w:ascii="Arial" w:hAnsi="Arial" w:cs="Arial"/>
          <w:sz w:val="22"/>
        </w:rPr>
        <w:t xml:space="preserve"> </w:t>
      </w:r>
      <w:r>
        <w:rPr>
          <w:rFonts w:hint="eastAsia" w:ascii="Arial" w:hAnsi="Arial" w:cs="Arial"/>
          <w:sz w:val="22"/>
        </w:rPr>
        <w:t>宏观</w:t>
      </w:r>
      <w:r>
        <w:rPr>
          <w:rFonts w:ascii="Arial" w:hAnsi="Arial" w:cs="Arial"/>
          <w:sz w:val="22"/>
        </w:rPr>
        <w:t>经济运行周期性波动，对</w:t>
      </w:r>
      <w:r>
        <w:rPr>
          <w:rFonts w:hint="eastAsia" w:ascii="Arial" w:hAnsi="Arial" w:cs="Arial"/>
          <w:sz w:val="22"/>
        </w:rPr>
        <w:t>证券</w:t>
      </w:r>
      <w:r>
        <w:rPr>
          <w:rFonts w:ascii="Arial" w:hAnsi="Arial" w:cs="Arial"/>
          <w:sz w:val="22"/>
        </w:rPr>
        <w:t>市场的收益水平产生影响的风险。</w:t>
      </w:r>
    </w:p>
    <w:p>
      <w:pPr>
        <w:spacing w:line="360" w:lineRule="auto"/>
        <w:ind w:left="420"/>
        <w:rPr>
          <w:rFonts w:ascii="Arial" w:hAnsi="Arial" w:cs="Arial"/>
          <w:sz w:val="22"/>
        </w:rPr>
      </w:pPr>
      <w:r>
        <w:rPr>
          <w:rFonts w:hint="eastAsia" w:ascii="Arial" w:hAnsi="Arial" w:cs="Arial"/>
          <w:sz w:val="22"/>
        </w:rPr>
        <w:t>C</w:t>
      </w:r>
      <w:r>
        <w:rPr>
          <w:rFonts w:ascii="Arial" w:hAnsi="Arial" w:cs="Arial"/>
          <w:sz w:val="22"/>
        </w:rPr>
        <w:t xml:space="preserve"> </w:t>
      </w:r>
      <w:r>
        <w:rPr>
          <w:rFonts w:hint="eastAsia" w:ascii="Arial" w:hAnsi="Arial" w:cs="Arial"/>
          <w:sz w:val="22"/>
        </w:rPr>
        <w:t>上市公司</w:t>
      </w:r>
      <w:r>
        <w:rPr>
          <w:rFonts w:ascii="Arial" w:hAnsi="Arial" w:cs="Arial"/>
          <w:sz w:val="22"/>
        </w:rPr>
        <w:t>的经营状况受多种因素影响，如市场、技术、竞争、管理、财务等都会导致公司盈利发生变化，从而导致</w:t>
      </w:r>
      <w:r>
        <w:rPr>
          <w:rFonts w:hint="eastAsia" w:ascii="Arial" w:hAnsi="Arial" w:cs="Arial"/>
          <w:sz w:val="22"/>
        </w:rPr>
        <w:t>优先股</w:t>
      </w:r>
      <w:r>
        <w:rPr>
          <w:rFonts w:ascii="Arial" w:hAnsi="Arial" w:cs="Arial"/>
          <w:sz w:val="22"/>
        </w:rPr>
        <w:t>价格</w:t>
      </w:r>
      <w:r>
        <w:rPr>
          <w:rFonts w:hint="eastAsia" w:ascii="Arial" w:hAnsi="Arial" w:cs="Arial"/>
          <w:sz w:val="22"/>
        </w:rPr>
        <w:t>和流动性</w:t>
      </w:r>
      <w:r>
        <w:rPr>
          <w:rFonts w:ascii="Arial" w:hAnsi="Arial" w:cs="Arial"/>
          <w:sz w:val="22"/>
        </w:rPr>
        <w:t>变动的风险。</w:t>
      </w:r>
    </w:p>
    <w:p>
      <w:pPr>
        <w:spacing w:line="360" w:lineRule="auto"/>
        <w:ind w:left="420"/>
        <w:rPr>
          <w:rFonts w:ascii="Arial" w:hAnsi="Arial" w:cs="Arial"/>
          <w:b/>
          <w:sz w:val="22"/>
          <w:szCs w:val="24"/>
        </w:rPr>
      </w:pPr>
      <w:r>
        <w:rPr>
          <w:rFonts w:hint="eastAsia" w:ascii="Arial" w:hAnsi="Arial" w:cs="Arial"/>
          <w:b/>
          <w:sz w:val="22"/>
          <w:szCs w:val="24"/>
        </w:rPr>
        <w:t>（</w:t>
      </w:r>
      <w:r>
        <w:rPr>
          <w:rFonts w:ascii="Arial" w:hAnsi="Arial" w:cs="Arial"/>
          <w:b/>
          <w:sz w:val="22"/>
          <w:szCs w:val="24"/>
        </w:rPr>
        <w:t>7</w:t>
      </w:r>
      <w:r>
        <w:rPr>
          <w:rFonts w:hint="eastAsia" w:ascii="Arial" w:hAnsi="Arial" w:cs="Arial"/>
          <w:b/>
          <w:sz w:val="22"/>
          <w:szCs w:val="24"/>
        </w:rPr>
        <w:t>）投资于Q</w:t>
      </w:r>
      <w:r>
        <w:rPr>
          <w:rFonts w:ascii="Arial" w:hAnsi="Arial" w:cs="Arial"/>
          <w:b/>
          <w:sz w:val="22"/>
          <w:szCs w:val="24"/>
        </w:rPr>
        <w:t>DII</w:t>
      </w:r>
      <w:r>
        <w:rPr>
          <w:rFonts w:hint="eastAsia" w:ascii="Arial" w:hAnsi="Arial" w:cs="Arial"/>
          <w:b/>
          <w:sz w:val="22"/>
          <w:szCs w:val="24"/>
        </w:rPr>
        <w:t>资产管理产品的特殊风险</w:t>
      </w:r>
    </w:p>
    <w:p>
      <w:pPr>
        <w:spacing w:line="360" w:lineRule="auto"/>
        <w:ind w:left="420"/>
        <w:rPr>
          <w:rFonts w:ascii="Arial" w:hAnsi="Arial" w:cs="Arial"/>
          <w:sz w:val="22"/>
          <w:szCs w:val="24"/>
        </w:rPr>
      </w:pPr>
      <w:r>
        <w:rPr>
          <w:rFonts w:hint="eastAsia" w:ascii="Arial" w:hAnsi="Arial" w:cs="Arial"/>
          <w:sz w:val="22"/>
          <w:szCs w:val="24"/>
        </w:rPr>
        <w:t>本理财产品可通过QDII资产管理产品投资境外金融资产和金融工具。投资QDII资产管理产品除面临所投资的金融资产和金融工具自身风险及管理人风险外，还面临着以下风险：</w:t>
      </w:r>
    </w:p>
    <w:p>
      <w:pPr>
        <w:spacing w:line="360" w:lineRule="auto"/>
        <w:ind w:left="420"/>
        <w:rPr>
          <w:rFonts w:ascii="Arial" w:hAnsi="Arial" w:cs="Arial"/>
          <w:sz w:val="22"/>
          <w:szCs w:val="24"/>
        </w:rPr>
      </w:pPr>
      <w:r>
        <w:rPr>
          <w:rFonts w:hint="eastAsia" w:ascii="Arial" w:hAnsi="Arial" w:cs="Arial"/>
          <w:sz w:val="22"/>
          <w:szCs w:val="24"/>
        </w:rPr>
        <w:t>A</w:t>
      </w:r>
      <w:r>
        <w:rPr>
          <w:rFonts w:ascii="Arial" w:hAnsi="Arial" w:cs="Arial"/>
          <w:sz w:val="22"/>
          <w:szCs w:val="24"/>
        </w:rPr>
        <w:t xml:space="preserve"> </w:t>
      </w:r>
      <w:r>
        <w:rPr>
          <w:rFonts w:hint="eastAsia" w:ascii="Arial" w:hAnsi="Arial" w:cs="Arial"/>
          <w:sz w:val="22"/>
          <w:szCs w:val="24"/>
        </w:rPr>
        <w:t>汇率风险：汇率变动可能影响本理财产品投资的QDII资产管理产品净值表现。若汇率市场出现巨大变化，造成所投资的QDII资产管理产品净值发生波动从而影响理财产品投资收益的，投资者的本金和收益可能遭受部分或全部的损失；</w:t>
      </w:r>
    </w:p>
    <w:p>
      <w:pPr>
        <w:spacing w:line="360" w:lineRule="auto"/>
        <w:ind w:left="420"/>
        <w:rPr>
          <w:rFonts w:ascii="Arial" w:hAnsi="Arial" w:cs="Arial"/>
          <w:sz w:val="22"/>
          <w:szCs w:val="24"/>
        </w:rPr>
      </w:pPr>
      <w:r>
        <w:rPr>
          <w:rFonts w:ascii="Arial" w:hAnsi="Arial" w:cs="Arial"/>
          <w:sz w:val="22"/>
          <w:szCs w:val="24"/>
        </w:rPr>
        <w:t xml:space="preserve">B </w:t>
      </w:r>
      <w:r>
        <w:rPr>
          <w:rFonts w:hint="eastAsia" w:ascii="Arial" w:hAnsi="Arial" w:cs="Arial"/>
          <w:sz w:val="22"/>
          <w:szCs w:val="24"/>
        </w:rPr>
        <w:t>资金出境风险：QDII资产管理产品管理人负责办理理财产品委托财产的购汇和资金出境事宜。QDII资产管理产品存续期内的购汇和资金出境事宜应当遵守国家相关监管机构及国家外汇管理局的有关规定，可能存在资金不能出境或如期出境进行投资的政策风险。</w:t>
      </w:r>
    </w:p>
    <w:p>
      <w:pPr>
        <w:spacing w:line="360" w:lineRule="auto"/>
        <w:ind w:left="420"/>
        <w:rPr>
          <w:rFonts w:ascii="Arial" w:hAnsi="Arial" w:cs="Arial"/>
          <w:sz w:val="22"/>
        </w:rPr>
      </w:pPr>
    </w:p>
    <w:p>
      <w:pPr>
        <w:widowControl/>
        <w:jc w:val="left"/>
        <w:rPr>
          <w:rFonts w:ascii="Arial" w:hAnsi="Arial" w:cs="Arial"/>
          <w:sz w:val="22"/>
        </w:rPr>
      </w:pPr>
    </w:p>
    <w:p>
      <w:pPr>
        <w:spacing w:line="360" w:lineRule="auto"/>
        <w:ind w:firstLine="440" w:firstLineChars="200"/>
        <w:rPr>
          <w:rFonts w:ascii="Arial" w:hAnsi="Arial" w:cs="Arial"/>
          <w:sz w:val="22"/>
        </w:rPr>
      </w:pPr>
      <w:r>
        <w:rPr>
          <w:rFonts w:ascii="Arial" w:hAnsi="Arial" w:cs="Arial"/>
          <w:sz w:val="22"/>
        </w:rPr>
        <w:t>《</w:t>
      </w:r>
      <w:r>
        <w:rPr>
          <w:rFonts w:hint="eastAsia" w:ascii="Arial" w:hAnsi="Arial" w:cs="Arial"/>
          <w:sz w:val="22"/>
          <w:lang w:eastAsia="zh-CN"/>
        </w:rPr>
        <w:t>平安理财灵活成长汇稳日开14天持有1号固收类理财产品</w:t>
      </w:r>
      <w:r>
        <w:rPr>
          <w:rFonts w:ascii="Arial" w:hAnsi="Arial" w:cs="Arial"/>
          <w:sz w:val="22"/>
        </w:rPr>
        <w:t>风险揭示书》（以下简称“</w:t>
      </w:r>
      <w:r>
        <w:rPr>
          <w:rFonts w:hint="eastAsia" w:ascii="Arial" w:hAnsi="Arial" w:cs="Arial"/>
          <w:sz w:val="22"/>
        </w:rPr>
        <w:t>本</w:t>
      </w:r>
      <w:r>
        <w:rPr>
          <w:rFonts w:ascii="Arial" w:hAnsi="Arial" w:cs="Arial"/>
          <w:sz w:val="22"/>
        </w:rPr>
        <w:t>《风险揭示书》”）所揭示事项仅为列举性质，未能详尽列明投资者参与本理财产品所面临的全部风险和可能导致投资者资产损失的所有因素。投资者</w:t>
      </w:r>
      <w:r>
        <w:rPr>
          <w:rFonts w:hint="eastAsia" w:ascii="Arial" w:hAnsi="Arial" w:cs="Arial"/>
          <w:sz w:val="22"/>
        </w:rPr>
        <w:t>在购买</w:t>
      </w:r>
      <w:r>
        <w:rPr>
          <w:rFonts w:ascii="Arial" w:hAnsi="Arial" w:cs="Arial"/>
          <w:sz w:val="22"/>
        </w:rPr>
        <w:t>本理财产品前，应当仔细阅读</w:t>
      </w:r>
      <w:r>
        <w:rPr>
          <w:rFonts w:hint="eastAsia" w:ascii="Arial" w:hAnsi="Arial" w:cs="Arial"/>
          <w:sz w:val="22"/>
        </w:rPr>
        <w:t>《投资协议书》、《代理销售协议书》（</w:t>
      </w:r>
      <w:r>
        <w:rPr>
          <w:rFonts w:hint="eastAsia" w:ascii="Arial" w:hAnsi="Arial" w:cs="Arial"/>
          <w:sz w:val="22"/>
          <w:szCs w:val="24"/>
        </w:rPr>
        <w:t>该文件具体名称以销售服务机构为准，下同）</w:t>
      </w:r>
      <w:r>
        <w:rPr>
          <w:rFonts w:hint="eastAsia" w:ascii="Arial" w:hAnsi="Arial" w:cs="Arial"/>
          <w:sz w:val="22"/>
        </w:rPr>
        <w:t>、《产品说明书》、《客户权益须知》和</w:t>
      </w:r>
      <w:r>
        <w:rPr>
          <w:rFonts w:ascii="Arial" w:hAnsi="Arial" w:cs="Arial"/>
          <w:sz w:val="22"/>
        </w:rPr>
        <w:t>本《风险揭示书》的全部内容，同时向本理财产品管理人或销售服务机构了解本理财产品的其他相关信息，并自己独立作出是否认购本理财产品的决定</w:t>
      </w:r>
      <w:r>
        <w:rPr>
          <w:rFonts w:hint="eastAsia" w:ascii="Arial" w:hAnsi="Arial" w:cs="Arial"/>
          <w:sz w:val="22"/>
        </w:rPr>
        <w:t>。</w:t>
      </w:r>
    </w:p>
    <w:p>
      <w:pPr>
        <w:widowControl/>
        <w:jc w:val="left"/>
        <w:rPr>
          <w:rFonts w:ascii="Arial" w:hAnsi="Arial" w:cs="Arial"/>
          <w:b/>
          <w:kern w:val="0"/>
          <w:sz w:val="22"/>
        </w:rPr>
      </w:pPr>
    </w:p>
    <w:p>
      <w:pPr>
        <w:tabs>
          <w:tab w:val="left" w:pos="8647"/>
        </w:tabs>
        <w:spacing w:line="440" w:lineRule="exact"/>
        <w:ind w:right="23" w:rightChars="11"/>
        <w:contextualSpacing/>
        <w:jc w:val="center"/>
        <w:rPr>
          <w:rFonts w:ascii="Arial" w:hAnsi="Arial" w:cs="Arial"/>
          <w:b/>
          <w:kern w:val="0"/>
          <w:sz w:val="24"/>
          <w:szCs w:val="24"/>
        </w:rPr>
      </w:pPr>
      <w:r>
        <w:rPr>
          <w:rFonts w:ascii="Arial" w:hAnsi="Arial" w:cs="Arial"/>
          <w:b/>
          <w:kern w:val="0"/>
          <w:sz w:val="24"/>
          <w:szCs w:val="24"/>
        </w:rPr>
        <w:t>确认函</w:t>
      </w:r>
    </w:p>
    <w:p>
      <w:pPr>
        <w:spacing w:line="360" w:lineRule="auto"/>
        <w:ind w:firstLine="440" w:firstLineChars="200"/>
        <w:rPr>
          <w:rFonts w:ascii="Arial" w:hAnsi="Arial" w:cs="Arial"/>
          <w:sz w:val="22"/>
        </w:rPr>
      </w:pPr>
      <w:r>
        <w:rPr>
          <w:rFonts w:ascii="Arial" w:hAnsi="Arial" w:cs="Arial"/>
          <w:sz w:val="22"/>
        </w:rPr>
        <w:t>投资者在此声明：</w:t>
      </w:r>
      <w:r>
        <w:rPr>
          <w:rFonts w:ascii="Arial" w:hAnsi="Arial" w:cs="Arial"/>
          <w:b/>
          <w:sz w:val="22"/>
        </w:rPr>
        <w:t>本投资者已认真阅读并充分理解</w:t>
      </w:r>
      <w:r>
        <w:rPr>
          <w:rFonts w:hint="eastAsia" w:ascii="Arial" w:hAnsi="Arial" w:cs="Arial"/>
          <w:b/>
          <w:sz w:val="22"/>
        </w:rPr>
        <w:t>《投资协议书》、</w:t>
      </w:r>
      <w:r>
        <w:rPr>
          <w:rFonts w:ascii="Arial" w:hAnsi="Arial" w:cs="Arial"/>
          <w:b/>
          <w:sz w:val="22"/>
        </w:rPr>
        <w:t>《</w:t>
      </w:r>
      <w:r>
        <w:rPr>
          <w:rFonts w:hint="eastAsia" w:ascii="Arial" w:hAnsi="Arial" w:cs="Arial"/>
          <w:b/>
          <w:sz w:val="22"/>
        </w:rPr>
        <w:t>代理</w:t>
      </w:r>
      <w:r>
        <w:rPr>
          <w:rFonts w:ascii="Arial" w:hAnsi="Arial" w:cs="Arial"/>
          <w:b/>
          <w:sz w:val="22"/>
        </w:rPr>
        <w:t>销售协议书》、《产品说明书》、《客户权益须知》与上列《风险揭示书》（以下统称为“</w:t>
      </w:r>
      <w:r>
        <w:rPr>
          <w:rFonts w:hint="eastAsia" w:ascii="Arial" w:hAnsi="Arial" w:cs="Arial"/>
          <w:b/>
          <w:sz w:val="22"/>
        </w:rPr>
        <w:t>销售文件</w:t>
      </w:r>
      <w:r>
        <w:rPr>
          <w:rFonts w:ascii="Arial" w:hAnsi="Arial" w:cs="Arial"/>
          <w:b/>
          <w:sz w:val="22"/>
        </w:rPr>
        <w:t>”）的条款与内容，充分了解并清楚知晓本理财产品蕴含的风险。</w:t>
      </w:r>
      <w:r>
        <w:rPr>
          <w:rFonts w:ascii="Arial" w:hAnsi="Arial" w:cs="Arial"/>
          <w:sz w:val="22"/>
        </w:rPr>
        <w:t>充分了解履行上述</w:t>
      </w:r>
      <w:r>
        <w:rPr>
          <w:rFonts w:hint="eastAsia" w:ascii="Arial" w:hAnsi="Arial" w:cs="Arial"/>
          <w:sz w:val="22"/>
        </w:rPr>
        <w:t>销售文件</w:t>
      </w:r>
      <w:r>
        <w:rPr>
          <w:rFonts w:ascii="Arial" w:hAnsi="Arial" w:cs="Arial"/>
          <w:sz w:val="22"/>
        </w:rPr>
        <w:t>的责任，具有识别及承担相关风险的能力，充分了解本理财产品的风险并愿意承担相关风险，本投资者拟进行的理财交易完全符合本投资者从事该交易的目的与投资目标；</w:t>
      </w:r>
      <w:r>
        <w:rPr>
          <w:rFonts w:ascii="Arial" w:hAnsi="Arial" w:cs="Arial"/>
          <w:b/>
          <w:sz w:val="22"/>
        </w:rPr>
        <w:t>本投资者充分了解任何预计收益、预期收益、测算收益、业绩比较基准</w:t>
      </w:r>
      <w:r>
        <w:rPr>
          <w:rFonts w:hint="eastAsia" w:ascii="Arial" w:hAnsi="Arial" w:cs="Arial"/>
          <w:b/>
          <w:sz w:val="22"/>
        </w:rPr>
        <w:t>、浮动管理费计提基准</w:t>
      </w:r>
      <w:r>
        <w:rPr>
          <w:rFonts w:ascii="Arial" w:hAnsi="Arial" w:cs="Arial"/>
          <w:b/>
          <w:sz w:val="22"/>
        </w:rPr>
        <w:t>或类似表述均属不具有法律效力的用语，不代表投资者可能获得的实际收益，也不构成</w:t>
      </w:r>
      <w:r>
        <w:rPr>
          <w:rFonts w:hint="eastAsia" w:ascii="Arial" w:hAnsi="Arial" w:cs="Arial"/>
          <w:b/>
          <w:sz w:val="22"/>
        </w:rPr>
        <w:t>管理人</w:t>
      </w:r>
      <w:r>
        <w:rPr>
          <w:rFonts w:ascii="Arial" w:hAnsi="Arial" w:cs="Arial"/>
          <w:b/>
          <w:sz w:val="22"/>
        </w:rPr>
        <w:t>对本理财产品的任何收益承诺，仅供投资者进行投资决策时参考。</w:t>
      </w:r>
      <w:r>
        <w:rPr>
          <w:rFonts w:ascii="Arial" w:hAnsi="Arial" w:cs="Arial"/>
          <w:sz w:val="22"/>
        </w:rPr>
        <w:t>本投资者购买</w:t>
      </w:r>
      <w:r>
        <w:rPr>
          <w:rFonts w:hint="eastAsia" w:ascii="Arial" w:hAnsi="Arial" w:cs="Arial"/>
          <w:sz w:val="22"/>
        </w:rPr>
        <w:t>本</w:t>
      </w:r>
      <w:r>
        <w:rPr>
          <w:rFonts w:ascii="Arial" w:hAnsi="Arial" w:cs="Arial"/>
          <w:sz w:val="22"/>
        </w:rPr>
        <w:t>理财产品的资金为合法自有资金，不存在使用贷款、发行债券等筹集的非自有资金投资</w:t>
      </w:r>
      <w:r>
        <w:rPr>
          <w:rFonts w:hint="eastAsia" w:ascii="Arial" w:hAnsi="Arial" w:cs="Arial"/>
          <w:sz w:val="22"/>
        </w:rPr>
        <w:t>本理财产品</w:t>
      </w:r>
      <w:r>
        <w:rPr>
          <w:rFonts w:ascii="Arial" w:hAnsi="Arial" w:cs="Arial"/>
          <w:sz w:val="22"/>
        </w:rPr>
        <w:t>的情形，本投资者承诺投资</w:t>
      </w:r>
      <w:r>
        <w:rPr>
          <w:rFonts w:hint="eastAsia" w:ascii="Arial" w:hAnsi="Arial" w:cs="Arial"/>
          <w:sz w:val="22"/>
        </w:rPr>
        <w:t>本</w:t>
      </w:r>
      <w:r>
        <w:rPr>
          <w:rFonts w:ascii="Arial" w:hAnsi="Arial" w:cs="Arial"/>
          <w:sz w:val="22"/>
        </w:rPr>
        <w:t>理财产品使用的资金来源合法合规，并且系为合法之目的投资本理财产品，而非为洗钱等违法犯罪之目的，本投资者将配合销售服务机构及产品管理人平安理财开展客户身份识别</w:t>
      </w:r>
      <w:r>
        <w:rPr>
          <w:rFonts w:hint="eastAsia" w:ascii="Arial" w:hAnsi="Arial" w:cs="Arial"/>
          <w:sz w:val="22"/>
        </w:rPr>
        <w:t>、尽职调查等</w:t>
      </w:r>
      <w:r>
        <w:rPr>
          <w:rFonts w:ascii="Arial" w:hAnsi="Arial" w:cs="Arial"/>
          <w:sz w:val="22"/>
        </w:rPr>
        <w:t>反洗钱</w:t>
      </w:r>
      <w:r>
        <w:rPr>
          <w:rFonts w:hint="eastAsia" w:ascii="Arial" w:hAnsi="Arial" w:cs="Arial"/>
          <w:sz w:val="22"/>
        </w:rPr>
        <w:t>、反恐怖融资、反扩散融资及非居民金融账户涉税信息尽职调查等工作</w:t>
      </w:r>
      <w:r>
        <w:rPr>
          <w:rFonts w:ascii="Arial" w:hAnsi="Arial" w:cs="Arial"/>
          <w:sz w:val="22"/>
        </w:rPr>
        <w:t>，及时、真实、准确、完整提供身份信息及资金来源等信息。本投资者声明平安理财可仅凭本《确认函》即确认本投资者已理解并有能力承担相关理财交易的风险。</w:t>
      </w:r>
    </w:p>
    <w:p>
      <w:pPr>
        <w:spacing w:line="360" w:lineRule="auto"/>
        <w:ind w:firstLine="442" w:firstLineChars="200"/>
        <w:rPr>
          <w:rFonts w:ascii="Arial" w:hAnsi="Arial" w:cs="Arial"/>
          <w:b/>
          <w:sz w:val="22"/>
        </w:rPr>
      </w:pPr>
      <w:r>
        <w:rPr>
          <w:rFonts w:ascii="Arial" w:hAnsi="Arial" w:cs="Arial"/>
          <w:b/>
          <w:sz w:val="22"/>
        </w:rPr>
        <w:t>（仅适用于个人投资者）投资者在此确认：本</w:t>
      </w:r>
      <w:r>
        <w:rPr>
          <w:rFonts w:hint="eastAsia" w:ascii="Arial" w:hAnsi="Arial" w:cs="Arial"/>
          <w:b/>
          <w:sz w:val="22"/>
        </w:rPr>
        <w:t>投资者</w:t>
      </w:r>
      <w:r>
        <w:rPr>
          <w:rFonts w:ascii="Arial" w:hAnsi="Arial" w:cs="Arial"/>
          <w:b/>
          <w:sz w:val="22"/>
        </w:rPr>
        <w:t>风险承受能力评级为：    ，本</w:t>
      </w:r>
      <w:r>
        <w:rPr>
          <w:rFonts w:hint="eastAsia" w:ascii="Arial" w:hAnsi="Arial" w:cs="Arial"/>
          <w:b/>
          <w:sz w:val="22"/>
        </w:rPr>
        <w:t>投资者</w:t>
      </w:r>
      <w:r>
        <w:rPr>
          <w:rFonts w:ascii="Arial" w:hAnsi="Arial" w:cs="Arial"/>
          <w:b/>
          <w:sz w:val="22"/>
        </w:rPr>
        <w:t>已充分认识叙做本</w:t>
      </w:r>
      <w:r>
        <w:rPr>
          <w:rFonts w:hint="eastAsia" w:ascii="Arial" w:hAnsi="Arial" w:cs="Arial"/>
          <w:b/>
          <w:sz w:val="22"/>
        </w:rPr>
        <w:t>理财产品销售文件</w:t>
      </w:r>
      <w:r>
        <w:rPr>
          <w:rFonts w:ascii="Arial" w:hAnsi="Arial" w:cs="Arial"/>
          <w:b/>
          <w:sz w:val="22"/>
        </w:rPr>
        <w:t>项下交易的风险和收益，并在已充分了解</w:t>
      </w:r>
      <w:r>
        <w:rPr>
          <w:rFonts w:hint="eastAsia" w:ascii="Arial" w:hAnsi="Arial" w:cs="Arial"/>
          <w:b/>
          <w:sz w:val="22"/>
        </w:rPr>
        <w:t>本理财产品销售文件</w:t>
      </w:r>
      <w:r>
        <w:rPr>
          <w:rFonts w:ascii="Arial" w:hAnsi="Arial" w:cs="Arial"/>
          <w:b/>
          <w:sz w:val="22"/>
        </w:rPr>
        <w:t>内容的基础上，根据自身独立判断自主参与交易，并未依赖于</w:t>
      </w:r>
      <w:r>
        <w:rPr>
          <w:rFonts w:hint="eastAsia" w:ascii="Arial" w:hAnsi="Arial" w:cs="Arial"/>
          <w:b/>
          <w:sz w:val="22"/>
        </w:rPr>
        <w:t>本理财产品管理人、销售服务机构</w:t>
      </w:r>
      <w:r>
        <w:rPr>
          <w:rFonts w:ascii="Arial" w:hAnsi="Arial" w:cs="Arial"/>
          <w:b/>
          <w:sz w:val="22"/>
        </w:rPr>
        <w:t>在本</w:t>
      </w:r>
      <w:r>
        <w:rPr>
          <w:rFonts w:hint="eastAsia" w:ascii="Arial" w:hAnsi="Arial" w:cs="Arial"/>
          <w:b/>
          <w:sz w:val="22"/>
        </w:rPr>
        <w:t>理财产品销售文件</w:t>
      </w:r>
      <w:r>
        <w:rPr>
          <w:rFonts w:ascii="Arial" w:hAnsi="Arial" w:cs="Arial"/>
          <w:b/>
          <w:sz w:val="22"/>
        </w:rPr>
        <w:t>条款及</w:t>
      </w:r>
      <w:r>
        <w:rPr>
          <w:rFonts w:hint="eastAsia" w:ascii="Arial" w:hAnsi="Arial" w:cs="Arial"/>
          <w:b/>
          <w:sz w:val="22"/>
        </w:rPr>
        <w:t>上述条款</w:t>
      </w:r>
      <w:r>
        <w:rPr>
          <w:rFonts w:ascii="Arial" w:hAnsi="Arial" w:cs="Arial"/>
          <w:b/>
          <w:sz w:val="22"/>
        </w:rPr>
        <w:t>之外的任何陈述、说明、文件或承诺。</w:t>
      </w:r>
    </w:p>
    <w:p>
      <w:pPr>
        <w:spacing w:line="360" w:lineRule="auto"/>
        <w:ind w:firstLine="442" w:firstLineChars="200"/>
        <w:rPr>
          <w:rFonts w:ascii="Arial" w:hAnsi="Arial" w:cs="Arial"/>
          <w:b/>
          <w:sz w:val="22"/>
        </w:rPr>
      </w:pPr>
      <w:r>
        <w:rPr>
          <w:rFonts w:ascii="Arial" w:hAnsi="Arial" w:cs="Arial"/>
          <w:b/>
          <w:sz w:val="22"/>
        </w:rPr>
        <w:t>根据中国银行保险监督</w:t>
      </w:r>
      <w:r>
        <w:rPr>
          <w:rFonts w:ascii="Arial" w:hAnsi="Arial" w:cs="Arial"/>
          <w:b/>
          <w:kern w:val="0"/>
          <w:sz w:val="22"/>
        </w:rPr>
        <w:t>管理</w:t>
      </w:r>
      <w:r>
        <w:rPr>
          <w:rFonts w:ascii="Arial" w:hAnsi="Arial" w:cs="Arial"/>
          <w:b/>
          <w:sz w:val="22"/>
        </w:rPr>
        <w:t>委员会令（2018年第6号）文《商业银行理财业务监督管理办法》</w:t>
      </w:r>
      <w:r>
        <w:rPr>
          <w:rFonts w:hint="eastAsia" w:ascii="Arial" w:hAnsi="Arial" w:cs="Arial"/>
          <w:b/>
          <w:sz w:val="22"/>
        </w:rPr>
        <w:t>和《理财公司理财产品销售管理暂行办法》</w:t>
      </w:r>
      <w:r>
        <w:rPr>
          <w:rFonts w:ascii="Arial" w:hAnsi="Arial" w:cs="Arial"/>
          <w:b/>
          <w:sz w:val="22"/>
        </w:rPr>
        <w:t>，请抄录以下语句并签字：</w:t>
      </w:r>
    </w:p>
    <w:p>
      <w:pPr>
        <w:spacing w:line="360" w:lineRule="auto"/>
        <w:ind w:firstLine="442" w:firstLineChars="200"/>
        <w:rPr>
          <w:rFonts w:ascii="Arial" w:hAnsi="Arial" w:cs="Arial"/>
          <w:b/>
          <w:sz w:val="22"/>
        </w:rPr>
      </w:pPr>
      <w:r>
        <w:rPr>
          <w:rFonts w:ascii="Arial" w:hAnsi="Arial" w:cs="Arial"/>
          <w:b/>
          <w:sz w:val="22"/>
        </w:rPr>
        <w:t>“本投资者已经阅读风险揭示</w:t>
      </w:r>
      <w:r>
        <w:rPr>
          <w:rFonts w:hint="eastAsia" w:ascii="Arial" w:hAnsi="Arial" w:cs="Arial"/>
          <w:b/>
          <w:sz w:val="22"/>
        </w:rPr>
        <w:t>及全部销售文件的条款与内容</w:t>
      </w:r>
      <w:r>
        <w:rPr>
          <w:rFonts w:ascii="Arial" w:hAnsi="Arial" w:cs="Arial"/>
          <w:b/>
          <w:sz w:val="22"/>
        </w:rPr>
        <w:t>，充分了解并清楚知晓本理财产品的风险，愿意承担投资风险。”</w:t>
      </w:r>
    </w:p>
    <w:p>
      <w:pPr>
        <w:spacing w:line="360" w:lineRule="auto"/>
        <w:rPr>
          <w:rFonts w:ascii="Arial" w:hAnsi="Arial" w:cs="Arial"/>
          <w:sz w:val="22"/>
        </w:rPr>
      </w:pPr>
      <w:r>
        <w:rPr>
          <w:rFonts w:ascii="Arial" w:hAnsi="Arial" w:cs="Arial"/>
          <w:sz w:val="22"/>
        </w:rPr>
        <w:t>______________________________________________________________________________________________</w:t>
      </w:r>
      <w:r>
        <w:rPr>
          <w:rFonts w:ascii="Arial" w:hAnsi="Arial" w:cs="Arial"/>
          <w:sz w:val="22"/>
          <w:u w:val="single"/>
        </w:rPr>
        <w:t>___           __</w:t>
      </w:r>
      <w:r>
        <w:rPr>
          <w:rFonts w:ascii="Arial" w:hAnsi="Arial" w:cs="Arial"/>
          <w:sz w:val="22"/>
        </w:rPr>
        <w:t>_________________________</w:t>
      </w:r>
    </w:p>
    <w:p>
      <w:pPr>
        <w:spacing w:line="360" w:lineRule="auto"/>
        <w:rPr>
          <w:rFonts w:ascii="Arial" w:hAnsi="Arial" w:cs="Arial"/>
          <w:sz w:val="22"/>
        </w:rPr>
      </w:pPr>
    </w:p>
    <w:p>
      <w:pPr>
        <w:spacing w:line="360" w:lineRule="auto"/>
        <w:rPr>
          <w:rFonts w:ascii="Arial" w:hAnsi="Arial" w:cs="Arial"/>
          <w:b/>
          <w:sz w:val="22"/>
        </w:rPr>
      </w:pPr>
      <w:r>
        <w:rPr>
          <w:rFonts w:ascii="Arial" w:hAnsi="Arial" w:cs="Arial"/>
          <w:b/>
          <w:sz w:val="22"/>
        </w:rPr>
        <w:t>经办人（签名）：                            投资者（签名）：</w:t>
      </w:r>
    </w:p>
    <w:p>
      <w:pPr>
        <w:spacing w:line="360" w:lineRule="auto"/>
        <w:rPr>
          <w:rFonts w:ascii="Arial" w:hAnsi="Arial" w:cs="Arial"/>
          <w:b/>
          <w:sz w:val="22"/>
        </w:rPr>
      </w:pPr>
    </w:p>
    <w:p>
      <w:pPr>
        <w:spacing w:line="360" w:lineRule="auto"/>
        <w:rPr>
          <w:rFonts w:ascii="Arial" w:hAnsi="Arial" w:cs="Arial"/>
          <w:b/>
          <w:sz w:val="22"/>
        </w:rPr>
      </w:pPr>
    </w:p>
    <w:p>
      <w:pPr>
        <w:spacing w:line="360" w:lineRule="auto"/>
        <w:jc w:val="right"/>
        <w:rPr>
          <w:rFonts w:ascii="Arial" w:hAnsi="Arial" w:cs="Arial"/>
          <w:b/>
          <w:sz w:val="24"/>
          <w:szCs w:val="20"/>
        </w:rPr>
      </w:pPr>
      <w:r>
        <w:rPr>
          <w:rFonts w:ascii="Arial" w:hAnsi="Arial" w:cs="Arial"/>
          <w:b/>
          <w:sz w:val="22"/>
        </w:rPr>
        <w:t xml:space="preserve">                                       日期：  年  月  日</w:t>
      </w:r>
      <w:r>
        <w:rPr>
          <w:rFonts w:ascii="Arial" w:hAnsi="Arial" w:cs="Arial"/>
          <w:b/>
          <w:sz w:val="24"/>
          <w:szCs w:val="20"/>
        </w:rPr>
        <w:t xml:space="preserve"> </w:t>
      </w: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bookmarkStart w:id="0" w:name="_GoBack"/>
      <w:bookmarkEnd w:id="0"/>
    </w:p>
    <w:p>
      <w:pPr>
        <w:spacing w:line="360" w:lineRule="auto"/>
        <w:rPr>
          <w:rFonts w:ascii="Arial" w:hAnsi="Arial" w:cs="Arial"/>
          <w:b/>
          <w:sz w:val="22"/>
        </w:rPr>
      </w:pPr>
    </w:p>
    <w:p>
      <w:pPr>
        <w:spacing w:line="360" w:lineRule="auto"/>
        <w:rPr>
          <w:rFonts w:ascii="Arial" w:hAnsi="Arial" w:cs="Arial"/>
          <w:b/>
          <w:sz w:val="22"/>
        </w:rPr>
      </w:pPr>
    </w:p>
    <w:p>
      <w:pPr>
        <w:spacing w:line="360" w:lineRule="auto"/>
        <w:jc w:val="right"/>
        <w:rPr>
          <w:rFonts w:ascii="Arial" w:hAnsi="Arial" w:cs="Arial"/>
          <w:b/>
          <w:sz w:val="24"/>
          <w:szCs w:val="20"/>
        </w:rPr>
      </w:pPr>
      <w:r>
        <w:rPr>
          <w:rFonts w:ascii="Arial" w:hAnsi="Arial" w:cs="Arial"/>
          <w:b/>
          <w:sz w:val="2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Arial" w:hAnsi="Arial" w:cs="Arial"/>
      </w:rPr>
    </w:pPr>
    <w:r>
      <w:rPr>
        <w:rFonts w:ascii="Arial" w:hAnsi="Arial" w:cs="Arial"/>
        <w:lang w:val="zh-CN"/>
      </w:rPr>
      <w:t xml:space="preserve"> </w:t>
    </w:r>
    <w:r>
      <w:rPr>
        <w:rFonts w:ascii="Arial" w:hAnsi="Arial" w:cs="Arial"/>
        <w:b/>
        <w:bCs/>
        <w:sz w:val="24"/>
        <w:szCs w:val="24"/>
      </w:rPr>
      <w:fldChar w:fldCharType="begin"/>
    </w:r>
    <w:r>
      <w:rPr>
        <w:rFonts w:ascii="Arial" w:hAnsi="Arial" w:cs="Arial"/>
        <w:b/>
        <w:bCs/>
      </w:rPr>
      <w:instrText xml:space="preserve">PAGE</w:instrText>
    </w:r>
    <w:r>
      <w:rPr>
        <w:rFonts w:ascii="Arial" w:hAnsi="Arial" w:cs="Arial"/>
        <w:b/>
        <w:bCs/>
        <w:sz w:val="24"/>
        <w:szCs w:val="24"/>
      </w:rPr>
      <w:fldChar w:fldCharType="separate"/>
    </w:r>
    <w:r>
      <w:rPr>
        <w:rFonts w:ascii="Arial" w:hAnsi="Arial" w:cs="Arial"/>
        <w:b/>
        <w:bCs/>
      </w:rPr>
      <w:t>9</w:t>
    </w:r>
    <w:r>
      <w:rPr>
        <w:rFonts w:ascii="Arial" w:hAnsi="Arial" w:cs="Arial"/>
        <w:b/>
        <w:bCs/>
        <w:sz w:val="24"/>
        <w:szCs w:val="24"/>
      </w:rPr>
      <w:fldChar w:fldCharType="end"/>
    </w:r>
    <w:r>
      <w:rPr>
        <w:rFonts w:ascii="Arial" w:hAnsi="Arial" w:cs="Arial"/>
        <w:lang w:val="zh-CN"/>
      </w:rPr>
      <w:t xml:space="preserve"> / </w:t>
    </w:r>
    <w:r>
      <w:rPr>
        <w:rFonts w:ascii="Arial" w:hAnsi="Arial" w:cs="Arial"/>
        <w:b/>
        <w:bCs/>
        <w:sz w:val="24"/>
        <w:szCs w:val="24"/>
      </w:rPr>
      <w:fldChar w:fldCharType="begin"/>
    </w:r>
    <w:r>
      <w:rPr>
        <w:rFonts w:ascii="Arial" w:hAnsi="Arial" w:cs="Arial"/>
        <w:b/>
        <w:bCs/>
      </w:rPr>
      <w:instrText xml:space="preserve">NUMPAGES</w:instrText>
    </w:r>
    <w:r>
      <w:rPr>
        <w:rFonts w:ascii="Arial" w:hAnsi="Arial" w:cs="Arial"/>
        <w:b/>
        <w:bCs/>
        <w:sz w:val="24"/>
        <w:szCs w:val="24"/>
      </w:rPr>
      <w:fldChar w:fldCharType="separate"/>
    </w:r>
    <w:r>
      <w:rPr>
        <w:rFonts w:ascii="Arial" w:hAnsi="Arial" w:cs="Arial"/>
        <w:b/>
        <w:bCs/>
      </w:rPr>
      <w:t>9</w:t>
    </w:r>
    <w:r>
      <w:rPr>
        <w:rFonts w:ascii="Arial" w:hAnsi="Arial" w:cs="Arial"/>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E0564"/>
    <w:multiLevelType w:val="multilevel"/>
    <w:tmpl w:val="227E0564"/>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CA"/>
    <w:rsid w:val="0000026F"/>
    <w:rsid w:val="0000357B"/>
    <w:rsid w:val="000072A3"/>
    <w:rsid w:val="00007C92"/>
    <w:rsid w:val="00011C03"/>
    <w:rsid w:val="00012C15"/>
    <w:rsid w:val="000158CD"/>
    <w:rsid w:val="0002030C"/>
    <w:rsid w:val="00036934"/>
    <w:rsid w:val="000412B4"/>
    <w:rsid w:val="00042275"/>
    <w:rsid w:val="000449B3"/>
    <w:rsid w:val="00047531"/>
    <w:rsid w:val="00050B01"/>
    <w:rsid w:val="00052961"/>
    <w:rsid w:val="000564C2"/>
    <w:rsid w:val="00056B64"/>
    <w:rsid w:val="0006355D"/>
    <w:rsid w:val="00065BBB"/>
    <w:rsid w:val="00067B97"/>
    <w:rsid w:val="00071F32"/>
    <w:rsid w:val="0008397C"/>
    <w:rsid w:val="000B783A"/>
    <w:rsid w:val="000C0954"/>
    <w:rsid w:val="000E73D6"/>
    <w:rsid w:val="000F1A7A"/>
    <w:rsid w:val="00100566"/>
    <w:rsid w:val="001040C4"/>
    <w:rsid w:val="00104EAB"/>
    <w:rsid w:val="00112140"/>
    <w:rsid w:val="00114B5C"/>
    <w:rsid w:val="00115D69"/>
    <w:rsid w:val="00116853"/>
    <w:rsid w:val="00122233"/>
    <w:rsid w:val="0012516A"/>
    <w:rsid w:val="00135BDA"/>
    <w:rsid w:val="00137132"/>
    <w:rsid w:val="00146FD7"/>
    <w:rsid w:val="0016028F"/>
    <w:rsid w:val="00162780"/>
    <w:rsid w:val="00164422"/>
    <w:rsid w:val="001654BA"/>
    <w:rsid w:val="00170C5C"/>
    <w:rsid w:val="001732AD"/>
    <w:rsid w:val="00181FB2"/>
    <w:rsid w:val="0018690E"/>
    <w:rsid w:val="00192574"/>
    <w:rsid w:val="00196A2F"/>
    <w:rsid w:val="001A037C"/>
    <w:rsid w:val="001A2817"/>
    <w:rsid w:val="001B29B6"/>
    <w:rsid w:val="001B2EB7"/>
    <w:rsid w:val="001C10F6"/>
    <w:rsid w:val="001C7747"/>
    <w:rsid w:val="001C7DBE"/>
    <w:rsid w:val="001D486C"/>
    <w:rsid w:val="001E245C"/>
    <w:rsid w:val="001F111A"/>
    <w:rsid w:val="001F6383"/>
    <w:rsid w:val="002033EB"/>
    <w:rsid w:val="00213938"/>
    <w:rsid w:val="00223859"/>
    <w:rsid w:val="00226A25"/>
    <w:rsid w:val="00230654"/>
    <w:rsid w:val="0023131E"/>
    <w:rsid w:val="00236BEF"/>
    <w:rsid w:val="002449FA"/>
    <w:rsid w:val="00254B5B"/>
    <w:rsid w:val="00255A39"/>
    <w:rsid w:val="002576ED"/>
    <w:rsid w:val="00265DC0"/>
    <w:rsid w:val="00267BB0"/>
    <w:rsid w:val="0027071F"/>
    <w:rsid w:val="002848F7"/>
    <w:rsid w:val="00293D33"/>
    <w:rsid w:val="002B625D"/>
    <w:rsid w:val="002C6AE3"/>
    <w:rsid w:val="002D5590"/>
    <w:rsid w:val="002E6CDB"/>
    <w:rsid w:val="00307564"/>
    <w:rsid w:val="00313A62"/>
    <w:rsid w:val="003157BA"/>
    <w:rsid w:val="003371A5"/>
    <w:rsid w:val="00344FE5"/>
    <w:rsid w:val="00347782"/>
    <w:rsid w:val="0035791A"/>
    <w:rsid w:val="00360015"/>
    <w:rsid w:val="00374A7C"/>
    <w:rsid w:val="003A0CD2"/>
    <w:rsid w:val="003A337E"/>
    <w:rsid w:val="003A4D5E"/>
    <w:rsid w:val="003B069F"/>
    <w:rsid w:val="003B23CB"/>
    <w:rsid w:val="003B25BC"/>
    <w:rsid w:val="003B50F5"/>
    <w:rsid w:val="003D6A95"/>
    <w:rsid w:val="003D7BAA"/>
    <w:rsid w:val="003E23ED"/>
    <w:rsid w:val="003F57FD"/>
    <w:rsid w:val="004047A6"/>
    <w:rsid w:val="004100F2"/>
    <w:rsid w:val="00417126"/>
    <w:rsid w:val="00420DE4"/>
    <w:rsid w:val="004262AB"/>
    <w:rsid w:val="00426C58"/>
    <w:rsid w:val="00435E37"/>
    <w:rsid w:val="00437B21"/>
    <w:rsid w:val="00440121"/>
    <w:rsid w:val="0044165D"/>
    <w:rsid w:val="00441879"/>
    <w:rsid w:val="00447695"/>
    <w:rsid w:val="004515E2"/>
    <w:rsid w:val="00456412"/>
    <w:rsid w:val="0045658C"/>
    <w:rsid w:val="00457C32"/>
    <w:rsid w:val="00457D30"/>
    <w:rsid w:val="00457DE5"/>
    <w:rsid w:val="004742CA"/>
    <w:rsid w:val="0047452A"/>
    <w:rsid w:val="0049198D"/>
    <w:rsid w:val="00492FF0"/>
    <w:rsid w:val="00493688"/>
    <w:rsid w:val="0049374A"/>
    <w:rsid w:val="004A24BD"/>
    <w:rsid w:val="004A6448"/>
    <w:rsid w:val="004B4E78"/>
    <w:rsid w:val="004C6C1A"/>
    <w:rsid w:val="004C77EA"/>
    <w:rsid w:val="004D156A"/>
    <w:rsid w:val="004D7ACA"/>
    <w:rsid w:val="004E508A"/>
    <w:rsid w:val="005007E0"/>
    <w:rsid w:val="00500D17"/>
    <w:rsid w:val="00507A23"/>
    <w:rsid w:val="00516988"/>
    <w:rsid w:val="00526F04"/>
    <w:rsid w:val="0053107A"/>
    <w:rsid w:val="005337B9"/>
    <w:rsid w:val="00544403"/>
    <w:rsid w:val="005452F3"/>
    <w:rsid w:val="00546C5D"/>
    <w:rsid w:val="0055247C"/>
    <w:rsid w:val="005617A7"/>
    <w:rsid w:val="00581B2F"/>
    <w:rsid w:val="00581CE1"/>
    <w:rsid w:val="00587AF9"/>
    <w:rsid w:val="005909C8"/>
    <w:rsid w:val="00591960"/>
    <w:rsid w:val="00591BD1"/>
    <w:rsid w:val="00593F01"/>
    <w:rsid w:val="005A21AA"/>
    <w:rsid w:val="005A2217"/>
    <w:rsid w:val="005A2D6D"/>
    <w:rsid w:val="005A4480"/>
    <w:rsid w:val="005B2B27"/>
    <w:rsid w:val="005B3ABD"/>
    <w:rsid w:val="005B41C4"/>
    <w:rsid w:val="005B43D0"/>
    <w:rsid w:val="005B7235"/>
    <w:rsid w:val="005C5D41"/>
    <w:rsid w:val="005C61C3"/>
    <w:rsid w:val="005D06AE"/>
    <w:rsid w:val="005D65BF"/>
    <w:rsid w:val="005E1B96"/>
    <w:rsid w:val="005F489A"/>
    <w:rsid w:val="00605F5B"/>
    <w:rsid w:val="00612C1D"/>
    <w:rsid w:val="00620D80"/>
    <w:rsid w:val="00634DB4"/>
    <w:rsid w:val="00634E06"/>
    <w:rsid w:val="00635854"/>
    <w:rsid w:val="00635ABC"/>
    <w:rsid w:val="006438CC"/>
    <w:rsid w:val="00644C18"/>
    <w:rsid w:val="00656435"/>
    <w:rsid w:val="00662D41"/>
    <w:rsid w:val="006664D4"/>
    <w:rsid w:val="00670AD2"/>
    <w:rsid w:val="00685195"/>
    <w:rsid w:val="00693626"/>
    <w:rsid w:val="006A36F1"/>
    <w:rsid w:val="006A5794"/>
    <w:rsid w:val="006A7933"/>
    <w:rsid w:val="006B581A"/>
    <w:rsid w:val="006C178F"/>
    <w:rsid w:val="006C5828"/>
    <w:rsid w:val="006D1C82"/>
    <w:rsid w:val="006F3C1D"/>
    <w:rsid w:val="006F6DB0"/>
    <w:rsid w:val="00700958"/>
    <w:rsid w:val="00705739"/>
    <w:rsid w:val="00714B97"/>
    <w:rsid w:val="00731B7D"/>
    <w:rsid w:val="0073397C"/>
    <w:rsid w:val="007363FC"/>
    <w:rsid w:val="007407C7"/>
    <w:rsid w:val="00742F33"/>
    <w:rsid w:val="00743D08"/>
    <w:rsid w:val="0074468E"/>
    <w:rsid w:val="00752BF4"/>
    <w:rsid w:val="0075377F"/>
    <w:rsid w:val="00770A05"/>
    <w:rsid w:val="00772866"/>
    <w:rsid w:val="00787320"/>
    <w:rsid w:val="00787BA9"/>
    <w:rsid w:val="00790295"/>
    <w:rsid w:val="0079300C"/>
    <w:rsid w:val="00793C59"/>
    <w:rsid w:val="00796923"/>
    <w:rsid w:val="00796CB4"/>
    <w:rsid w:val="007A1A2F"/>
    <w:rsid w:val="007B70AC"/>
    <w:rsid w:val="007B7492"/>
    <w:rsid w:val="007B7AE9"/>
    <w:rsid w:val="007C398B"/>
    <w:rsid w:val="007C3E82"/>
    <w:rsid w:val="007D7D19"/>
    <w:rsid w:val="007E183F"/>
    <w:rsid w:val="007E2547"/>
    <w:rsid w:val="007E3CD1"/>
    <w:rsid w:val="007F2583"/>
    <w:rsid w:val="007F5759"/>
    <w:rsid w:val="0080394B"/>
    <w:rsid w:val="00804D10"/>
    <w:rsid w:val="00807EFE"/>
    <w:rsid w:val="00813C98"/>
    <w:rsid w:val="00814F8B"/>
    <w:rsid w:val="00824BB8"/>
    <w:rsid w:val="00833D61"/>
    <w:rsid w:val="00840505"/>
    <w:rsid w:val="008428DB"/>
    <w:rsid w:val="008551B7"/>
    <w:rsid w:val="0085757A"/>
    <w:rsid w:val="008717A7"/>
    <w:rsid w:val="008729AD"/>
    <w:rsid w:val="00885300"/>
    <w:rsid w:val="00887FB7"/>
    <w:rsid w:val="00891BEB"/>
    <w:rsid w:val="00894172"/>
    <w:rsid w:val="008963E8"/>
    <w:rsid w:val="00897C1A"/>
    <w:rsid w:val="008A599A"/>
    <w:rsid w:val="008B594F"/>
    <w:rsid w:val="008B5E16"/>
    <w:rsid w:val="008C1872"/>
    <w:rsid w:val="008D6668"/>
    <w:rsid w:val="008E77E1"/>
    <w:rsid w:val="008F0C5F"/>
    <w:rsid w:val="008F0D0F"/>
    <w:rsid w:val="008F555C"/>
    <w:rsid w:val="008F62C7"/>
    <w:rsid w:val="00904C86"/>
    <w:rsid w:val="00910DAB"/>
    <w:rsid w:val="0091439D"/>
    <w:rsid w:val="0091595B"/>
    <w:rsid w:val="00916661"/>
    <w:rsid w:val="00921486"/>
    <w:rsid w:val="00931ED1"/>
    <w:rsid w:val="0093765B"/>
    <w:rsid w:val="00941064"/>
    <w:rsid w:val="00944D33"/>
    <w:rsid w:val="00947C7F"/>
    <w:rsid w:val="00961B20"/>
    <w:rsid w:val="00971008"/>
    <w:rsid w:val="0097410A"/>
    <w:rsid w:val="009761E5"/>
    <w:rsid w:val="0097791F"/>
    <w:rsid w:val="0098479D"/>
    <w:rsid w:val="0098703E"/>
    <w:rsid w:val="00990E82"/>
    <w:rsid w:val="00995713"/>
    <w:rsid w:val="009A75CD"/>
    <w:rsid w:val="009B0B7F"/>
    <w:rsid w:val="009B5936"/>
    <w:rsid w:val="009C0076"/>
    <w:rsid w:val="009C0985"/>
    <w:rsid w:val="009C289B"/>
    <w:rsid w:val="009D3D0F"/>
    <w:rsid w:val="009D6797"/>
    <w:rsid w:val="009E0CB8"/>
    <w:rsid w:val="009E4AA2"/>
    <w:rsid w:val="009E51EE"/>
    <w:rsid w:val="009E56BE"/>
    <w:rsid w:val="009F1C4C"/>
    <w:rsid w:val="009F5C75"/>
    <w:rsid w:val="00A03C37"/>
    <w:rsid w:val="00A056CE"/>
    <w:rsid w:val="00A11050"/>
    <w:rsid w:val="00A40D41"/>
    <w:rsid w:val="00A40E5F"/>
    <w:rsid w:val="00A4497F"/>
    <w:rsid w:val="00A53817"/>
    <w:rsid w:val="00A60F15"/>
    <w:rsid w:val="00A64B26"/>
    <w:rsid w:val="00A64E2B"/>
    <w:rsid w:val="00A75CFB"/>
    <w:rsid w:val="00A7748B"/>
    <w:rsid w:val="00A77A7D"/>
    <w:rsid w:val="00A85A9A"/>
    <w:rsid w:val="00A866EC"/>
    <w:rsid w:val="00A87848"/>
    <w:rsid w:val="00A92ACE"/>
    <w:rsid w:val="00A940B2"/>
    <w:rsid w:val="00AA5F54"/>
    <w:rsid w:val="00AA60C4"/>
    <w:rsid w:val="00AB418B"/>
    <w:rsid w:val="00AC480B"/>
    <w:rsid w:val="00AC5125"/>
    <w:rsid w:val="00AC6E4B"/>
    <w:rsid w:val="00AD4F72"/>
    <w:rsid w:val="00AE5E55"/>
    <w:rsid w:val="00AF74A0"/>
    <w:rsid w:val="00B0043D"/>
    <w:rsid w:val="00B00BD9"/>
    <w:rsid w:val="00B00EFB"/>
    <w:rsid w:val="00B0388F"/>
    <w:rsid w:val="00B06589"/>
    <w:rsid w:val="00B0714D"/>
    <w:rsid w:val="00B100F5"/>
    <w:rsid w:val="00B131D8"/>
    <w:rsid w:val="00B24149"/>
    <w:rsid w:val="00B41635"/>
    <w:rsid w:val="00B42243"/>
    <w:rsid w:val="00B44466"/>
    <w:rsid w:val="00B452E8"/>
    <w:rsid w:val="00B45BD2"/>
    <w:rsid w:val="00B47255"/>
    <w:rsid w:val="00B50848"/>
    <w:rsid w:val="00B51778"/>
    <w:rsid w:val="00B52741"/>
    <w:rsid w:val="00B52D15"/>
    <w:rsid w:val="00B645BC"/>
    <w:rsid w:val="00B65AB6"/>
    <w:rsid w:val="00B65E4A"/>
    <w:rsid w:val="00B66BDE"/>
    <w:rsid w:val="00B8206F"/>
    <w:rsid w:val="00B83F82"/>
    <w:rsid w:val="00B85C6F"/>
    <w:rsid w:val="00B9035F"/>
    <w:rsid w:val="00BB69C9"/>
    <w:rsid w:val="00BC4E51"/>
    <w:rsid w:val="00BC6D66"/>
    <w:rsid w:val="00BD35FF"/>
    <w:rsid w:val="00BD4EC2"/>
    <w:rsid w:val="00BD6B28"/>
    <w:rsid w:val="00BF33A8"/>
    <w:rsid w:val="00C06D1C"/>
    <w:rsid w:val="00C07A3C"/>
    <w:rsid w:val="00C101F1"/>
    <w:rsid w:val="00C222A2"/>
    <w:rsid w:val="00C22C6E"/>
    <w:rsid w:val="00C31102"/>
    <w:rsid w:val="00C33FB5"/>
    <w:rsid w:val="00C41019"/>
    <w:rsid w:val="00C455A1"/>
    <w:rsid w:val="00C459E0"/>
    <w:rsid w:val="00C50EA9"/>
    <w:rsid w:val="00C64A12"/>
    <w:rsid w:val="00C70003"/>
    <w:rsid w:val="00C7441E"/>
    <w:rsid w:val="00C82460"/>
    <w:rsid w:val="00C830B3"/>
    <w:rsid w:val="00C843A3"/>
    <w:rsid w:val="00C90FC3"/>
    <w:rsid w:val="00C9707E"/>
    <w:rsid w:val="00CA497C"/>
    <w:rsid w:val="00CA61E2"/>
    <w:rsid w:val="00CC4341"/>
    <w:rsid w:val="00CC706A"/>
    <w:rsid w:val="00CD2239"/>
    <w:rsid w:val="00CE11F8"/>
    <w:rsid w:val="00CE67A6"/>
    <w:rsid w:val="00CE7020"/>
    <w:rsid w:val="00D114E8"/>
    <w:rsid w:val="00D21270"/>
    <w:rsid w:val="00D2375D"/>
    <w:rsid w:val="00D412A5"/>
    <w:rsid w:val="00D42ED6"/>
    <w:rsid w:val="00D43148"/>
    <w:rsid w:val="00D465B3"/>
    <w:rsid w:val="00D5167D"/>
    <w:rsid w:val="00D5696D"/>
    <w:rsid w:val="00D63CEE"/>
    <w:rsid w:val="00D67D28"/>
    <w:rsid w:val="00D67DD5"/>
    <w:rsid w:val="00D73318"/>
    <w:rsid w:val="00D74AFF"/>
    <w:rsid w:val="00D7558A"/>
    <w:rsid w:val="00D810FF"/>
    <w:rsid w:val="00D82040"/>
    <w:rsid w:val="00D83EF5"/>
    <w:rsid w:val="00D948F7"/>
    <w:rsid w:val="00D96692"/>
    <w:rsid w:val="00DA1957"/>
    <w:rsid w:val="00DB64FF"/>
    <w:rsid w:val="00DC18C6"/>
    <w:rsid w:val="00DC28A0"/>
    <w:rsid w:val="00DC5457"/>
    <w:rsid w:val="00DD6CE7"/>
    <w:rsid w:val="00DD7A99"/>
    <w:rsid w:val="00DD7D87"/>
    <w:rsid w:val="00DE3AB0"/>
    <w:rsid w:val="00DE5A47"/>
    <w:rsid w:val="00E0221A"/>
    <w:rsid w:val="00E04114"/>
    <w:rsid w:val="00E13110"/>
    <w:rsid w:val="00E1662F"/>
    <w:rsid w:val="00E316D2"/>
    <w:rsid w:val="00E33C3F"/>
    <w:rsid w:val="00E47CC7"/>
    <w:rsid w:val="00E51A13"/>
    <w:rsid w:val="00E55FE6"/>
    <w:rsid w:val="00E57EE1"/>
    <w:rsid w:val="00E70F14"/>
    <w:rsid w:val="00E80418"/>
    <w:rsid w:val="00E95DA6"/>
    <w:rsid w:val="00EA2232"/>
    <w:rsid w:val="00EA3F80"/>
    <w:rsid w:val="00EB470A"/>
    <w:rsid w:val="00EB7F1B"/>
    <w:rsid w:val="00EC355D"/>
    <w:rsid w:val="00ED0B43"/>
    <w:rsid w:val="00ED125F"/>
    <w:rsid w:val="00EF0BCE"/>
    <w:rsid w:val="00EF2385"/>
    <w:rsid w:val="00F106D7"/>
    <w:rsid w:val="00F13AA6"/>
    <w:rsid w:val="00F1733A"/>
    <w:rsid w:val="00F2730D"/>
    <w:rsid w:val="00F31FA8"/>
    <w:rsid w:val="00F41294"/>
    <w:rsid w:val="00F44D09"/>
    <w:rsid w:val="00F46369"/>
    <w:rsid w:val="00F47754"/>
    <w:rsid w:val="00F60B99"/>
    <w:rsid w:val="00F645B6"/>
    <w:rsid w:val="00F73378"/>
    <w:rsid w:val="00F77EFE"/>
    <w:rsid w:val="00F809B3"/>
    <w:rsid w:val="00F838CB"/>
    <w:rsid w:val="00F839B1"/>
    <w:rsid w:val="00F84CC1"/>
    <w:rsid w:val="00F865B9"/>
    <w:rsid w:val="00F90D32"/>
    <w:rsid w:val="00FA1844"/>
    <w:rsid w:val="00FA67D6"/>
    <w:rsid w:val="00FC2ADC"/>
    <w:rsid w:val="00FC5CD8"/>
    <w:rsid w:val="00FD0493"/>
    <w:rsid w:val="00FE47B9"/>
    <w:rsid w:val="00FE66E3"/>
    <w:rsid w:val="00FE69B6"/>
    <w:rsid w:val="00FF7287"/>
    <w:rsid w:val="014E7071"/>
    <w:rsid w:val="05CC6F5C"/>
    <w:rsid w:val="68551316"/>
    <w:rsid w:val="7BDD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0"/>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semiHidden/>
    <w:unhideWhenUsed/>
    <w:qFormat/>
    <w:uiPriority w:val="0"/>
    <w:rPr>
      <w:sz w:val="21"/>
      <w:szCs w:val="21"/>
    </w:rPr>
  </w:style>
  <w:style w:type="paragraph" w:styleId="10">
    <w:name w:val="List Paragraph"/>
    <w:basedOn w:val="1"/>
    <w:qFormat/>
    <w:uiPriority w:val="34"/>
    <w:pPr>
      <w:ind w:firstLine="420" w:firstLineChars="200"/>
    </w:pPr>
    <w:rPr>
      <w:rFonts w:ascii="Times New Roman" w:hAnsi="Times New Roman"/>
      <w:szCs w:val="24"/>
    </w:rPr>
  </w:style>
  <w:style w:type="character" w:customStyle="1" w:styleId="11">
    <w:name w:val="批注框文本 字符"/>
    <w:link w:val="3"/>
    <w:semiHidden/>
    <w:qFormat/>
    <w:uiPriority w:val="99"/>
    <w:rPr>
      <w:kern w:val="2"/>
      <w:sz w:val="18"/>
      <w:szCs w:val="18"/>
    </w:rPr>
  </w:style>
  <w:style w:type="character" w:customStyle="1" w:styleId="12">
    <w:name w:val="页眉 字符"/>
    <w:link w:val="5"/>
    <w:qFormat/>
    <w:uiPriority w:val="99"/>
    <w:rPr>
      <w:kern w:val="2"/>
      <w:sz w:val="18"/>
      <w:szCs w:val="18"/>
    </w:rPr>
  </w:style>
  <w:style w:type="character" w:customStyle="1" w:styleId="13">
    <w:name w:val="页脚 字符"/>
    <w:link w:val="4"/>
    <w:qFormat/>
    <w:uiPriority w:val="99"/>
    <w:rPr>
      <w:kern w:val="2"/>
      <w:sz w:val="18"/>
      <w:szCs w:val="18"/>
    </w:rPr>
  </w:style>
  <w:style w:type="character" w:customStyle="1" w:styleId="14">
    <w:name w:val="批注文字 字符"/>
    <w:link w:val="2"/>
    <w:semiHidden/>
    <w:qFormat/>
    <w:uiPriority w:val="0"/>
    <w:rPr>
      <w:kern w:val="2"/>
      <w:sz w:val="21"/>
      <w:szCs w:val="22"/>
    </w:rPr>
  </w:style>
  <w:style w:type="character" w:customStyle="1" w:styleId="15">
    <w:name w:val="批注主题 字符"/>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10</Pages>
  <Words>1179</Words>
  <Characters>6725</Characters>
  <Lines>56</Lines>
  <Paragraphs>15</Paragraphs>
  <TotalTime>6</TotalTime>
  <ScaleCrop>false</ScaleCrop>
  <LinksUpToDate>false</LinksUpToDate>
  <CharactersWithSpaces>7889</CharactersWithSpaces>
  <Application>WPS Office_11.8.2.12252_F1E327BC-269C-435d-A152-05C5408002CA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2023-11-29T05:09:00Z</dcterms:created>
  <dc:creator>PINGAN</dc:creator>
  <cp:lastModifiedBy>JIANGYING01</cp:lastModifiedBy>
  <dcterms:modified xsi:type="dcterms:W3CDTF">2024-10-12T11:50:53Z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2052-11.8.2.12252</vt:lpwstr>
  </property>
  <property fmtid="{D5CDD505-2E9C-101B-9397-08002B2CF9AE}" pid="3" name="ICV">
    <vt:lpwstr>B2CBCDF7F23340DB805F4B41F8ADC046</vt:lpwstr>
  </property>
</Properties>
</file>